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F272" w14:textId="77777777" w:rsidR="00F2078A" w:rsidRPr="0035295D" w:rsidRDefault="00F2078A" w:rsidP="00F2078A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 xml:space="preserve">Date: </w:t>
      </w:r>
    </w:p>
    <w:p w14:paraId="0F88ED7D" w14:textId="77777777" w:rsidR="00F2078A" w:rsidRPr="0035295D" w:rsidRDefault="00F2078A" w:rsidP="00F2078A">
      <w:pPr>
        <w:rPr>
          <w:rFonts w:ascii="Georgia" w:hAnsi="Georgia"/>
          <w:sz w:val="22"/>
          <w:szCs w:val="22"/>
          <w:highlight w:val="lightGray"/>
        </w:rPr>
      </w:pPr>
    </w:p>
    <w:p w14:paraId="130B815F" w14:textId="77777777" w:rsidR="00F2078A" w:rsidRPr="0035295D" w:rsidRDefault="00F2078A" w:rsidP="00F2078A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Payer Company Name</w:t>
      </w:r>
    </w:p>
    <w:p w14:paraId="3B6ECC63" w14:textId="77777777" w:rsidR="00F2078A" w:rsidRPr="0035295D" w:rsidRDefault="00F2078A" w:rsidP="00F2078A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Street/Building Address</w:t>
      </w:r>
    </w:p>
    <w:p w14:paraId="24A3D89E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  <w:highlight w:val="lightGray"/>
        </w:rPr>
        <w:t>City, State ZIP</w:t>
      </w:r>
    </w:p>
    <w:p w14:paraId="3CB9F965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</w:p>
    <w:p w14:paraId="45A162EB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ATTN: </w:t>
      </w:r>
      <w:r w:rsidRPr="0035295D">
        <w:rPr>
          <w:rFonts w:ascii="Georgia" w:hAnsi="Georgia"/>
          <w:sz w:val="22"/>
          <w:szCs w:val="22"/>
          <w:highlight w:val="lightGray"/>
        </w:rPr>
        <w:t>Contact Name/ Contact Title</w:t>
      </w:r>
    </w:p>
    <w:p w14:paraId="5B5CB94C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</w:p>
    <w:p w14:paraId="0F3D6FFB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Re: Letter of </w:t>
      </w:r>
      <w:r>
        <w:rPr>
          <w:rFonts w:ascii="Georgia" w:hAnsi="Georgia"/>
          <w:sz w:val="22"/>
          <w:szCs w:val="22"/>
        </w:rPr>
        <w:t>RYTARY</w:t>
      </w:r>
      <w:r w:rsidRPr="0035295D">
        <w:rPr>
          <w:rFonts w:ascii="Georgia" w:hAnsi="Georgia"/>
          <w:sz w:val="22"/>
          <w:szCs w:val="22"/>
        </w:rPr>
        <w:t xml:space="preserve"> Medical Necessity for </w:t>
      </w:r>
      <w:r w:rsidRPr="0035295D">
        <w:rPr>
          <w:rFonts w:ascii="Georgia" w:hAnsi="Georgia"/>
          <w:sz w:val="22"/>
          <w:szCs w:val="22"/>
          <w:highlight w:val="lightGray"/>
        </w:rPr>
        <w:t>Plan Member Name</w:t>
      </w:r>
    </w:p>
    <w:p w14:paraId="42FD9BB8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</w:p>
    <w:p w14:paraId="164BA9C7" w14:textId="77777777" w:rsidR="00F2078A" w:rsidRPr="0035295D" w:rsidRDefault="00F2078A" w:rsidP="00F2078A">
      <w:pPr>
        <w:rPr>
          <w:rFonts w:ascii="Georgia" w:hAnsi="Georgia"/>
          <w:i/>
          <w:iCs/>
          <w:sz w:val="22"/>
          <w:szCs w:val="22"/>
        </w:rPr>
      </w:pPr>
      <w:r w:rsidRPr="0035295D">
        <w:rPr>
          <w:rFonts w:ascii="Georgia" w:hAnsi="Georgia"/>
          <w:i/>
          <w:iCs/>
          <w:sz w:val="22"/>
          <w:szCs w:val="22"/>
        </w:rPr>
        <w:t>Plan member information:</w:t>
      </w:r>
    </w:p>
    <w:p w14:paraId="6FBCF927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Name: </w:t>
      </w:r>
      <w:r w:rsidRPr="0035295D">
        <w:rPr>
          <w:rFonts w:ascii="Georgia" w:hAnsi="Georgia"/>
          <w:sz w:val="22"/>
          <w:szCs w:val="22"/>
          <w:highlight w:val="lightGray"/>
        </w:rPr>
        <w:t>First and Last Name</w:t>
      </w:r>
    </w:p>
    <w:p w14:paraId="3FAF4068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Date of Birth: </w:t>
      </w:r>
      <w:r w:rsidRPr="0035295D">
        <w:rPr>
          <w:rFonts w:ascii="Georgia" w:hAnsi="Georgia"/>
          <w:sz w:val="22"/>
          <w:szCs w:val="22"/>
          <w:highlight w:val="lightGray"/>
        </w:rPr>
        <w:t>MM/DD/YYYY</w:t>
      </w:r>
    </w:p>
    <w:p w14:paraId="4146BDB5" w14:textId="77777777" w:rsidR="00F2078A" w:rsidRPr="0035295D" w:rsidRDefault="00F2078A" w:rsidP="00F2078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ID Number: </w:t>
      </w:r>
      <w:r w:rsidRPr="0035295D">
        <w:rPr>
          <w:rFonts w:ascii="Georgia" w:hAnsi="Georgia"/>
          <w:sz w:val="22"/>
          <w:szCs w:val="22"/>
          <w:highlight w:val="lightGray"/>
        </w:rPr>
        <w:t>Insurance ID Number</w:t>
      </w:r>
    </w:p>
    <w:p w14:paraId="51E8A01F" w14:textId="77777777" w:rsidR="00F2078A" w:rsidRPr="003A0406" w:rsidRDefault="00F2078A" w:rsidP="00F2078A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Group Number: </w:t>
      </w:r>
      <w:r w:rsidRPr="0035295D">
        <w:rPr>
          <w:rFonts w:ascii="Georgia" w:hAnsi="Georgia"/>
          <w:sz w:val="22"/>
          <w:szCs w:val="22"/>
          <w:highlight w:val="lightGray"/>
        </w:rPr>
        <w:t>Insurance Group Number</w:t>
      </w:r>
    </w:p>
    <w:p w14:paraId="64539728" w14:textId="77777777" w:rsidR="00F2078A" w:rsidRPr="003A0406" w:rsidRDefault="00F2078A" w:rsidP="00F2078A">
      <w:pPr>
        <w:rPr>
          <w:rFonts w:ascii="Georgia" w:hAnsi="Georgia"/>
          <w:sz w:val="22"/>
          <w:szCs w:val="22"/>
        </w:rPr>
      </w:pPr>
    </w:p>
    <w:p w14:paraId="75DAC7D3" w14:textId="77777777" w:rsidR="00F2078A" w:rsidRPr="003A0406" w:rsidRDefault="00F2078A" w:rsidP="00F2078A">
      <w:pPr>
        <w:rPr>
          <w:rFonts w:ascii="Georgia" w:hAnsi="Georgia"/>
          <w:sz w:val="22"/>
          <w:szCs w:val="22"/>
        </w:rPr>
      </w:pPr>
      <w:r w:rsidRPr="003A0406">
        <w:rPr>
          <w:rFonts w:ascii="Georgia" w:hAnsi="Georgia"/>
          <w:sz w:val="22"/>
          <w:szCs w:val="22"/>
        </w:rPr>
        <w:t xml:space="preserve">Dear </w:t>
      </w:r>
      <w:r w:rsidRPr="0035295D">
        <w:rPr>
          <w:rFonts w:ascii="Georgia" w:hAnsi="Georgia"/>
          <w:sz w:val="22"/>
          <w:szCs w:val="22"/>
          <w:highlight w:val="lightGray"/>
        </w:rPr>
        <w:t>Sir or Madam</w:t>
      </w:r>
      <w:r w:rsidRPr="003A0406">
        <w:rPr>
          <w:rFonts w:ascii="Georgia" w:hAnsi="Georgia"/>
          <w:sz w:val="22"/>
          <w:szCs w:val="22"/>
        </w:rPr>
        <w:t>:</w:t>
      </w:r>
    </w:p>
    <w:p w14:paraId="1CF071B1" w14:textId="77777777" w:rsidR="00F2078A" w:rsidRDefault="00F2078A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</w:p>
    <w:p w14:paraId="63B1D58D" w14:textId="6530D1E0" w:rsidR="003A0406" w:rsidRDefault="003A0406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3A0406">
        <w:rPr>
          <w:rFonts w:ascii="Georgia" w:hAnsi="Georgia"/>
          <w:sz w:val="22"/>
          <w:szCs w:val="22"/>
        </w:rPr>
        <w:t xml:space="preserve">This letter is to </w:t>
      </w:r>
      <w:r>
        <w:rPr>
          <w:rFonts w:ascii="Georgia" w:hAnsi="Georgia"/>
          <w:sz w:val="22"/>
          <w:szCs w:val="22"/>
        </w:rPr>
        <w:t>explain the rationale for my prescription of carbidopa and levodopa extended</w:t>
      </w:r>
      <w:r w:rsidR="00A84940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>release capsules (R</w:t>
      </w:r>
      <w:r w:rsidR="00A84940">
        <w:rPr>
          <w:rFonts w:ascii="Georgia" w:hAnsi="Georgia"/>
          <w:sz w:val="22"/>
          <w:szCs w:val="22"/>
        </w:rPr>
        <w:t>YTARY</w:t>
      </w:r>
      <w:r w:rsidRPr="003A0406">
        <w:rPr>
          <w:rFonts w:ascii="Georgia" w:hAnsi="Georgia" w:cs="Times New Roman (Body CS)"/>
          <w:sz w:val="22"/>
          <w:szCs w:val="22"/>
          <w:vertAlign w:val="superscript"/>
        </w:rPr>
        <w:t>®</w:t>
      </w:r>
      <w:r>
        <w:rPr>
          <w:rFonts w:ascii="Georgia" w:hAnsi="Georgia"/>
          <w:sz w:val="22"/>
          <w:szCs w:val="22"/>
        </w:rPr>
        <w:t xml:space="preserve">) for </w:t>
      </w:r>
      <w:r w:rsidR="001C0143" w:rsidRPr="00A84940">
        <w:rPr>
          <w:rFonts w:ascii="Georgia" w:hAnsi="Georgia"/>
          <w:sz w:val="22"/>
          <w:szCs w:val="22"/>
          <w:highlight w:val="lightGray"/>
        </w:rPr>
        <w:t>patient name</w:t>
      </w:r>
      <w:r>
        <w:rPr>
          <w:rFonts w:ascii="Georgia" w:hAnsi="Georgia"/>
          <w:sz w:val="22"/>
          <w:szCs w:val="22"/>
        </w:rPr>
        <w:t>. This individual suffers from Parkinson</w:t>
      </w:r>
      <w:r w:rsidR="00A84940">
        <w:rPr>
          <w:rFonts w:ascii="Georgia" w:hAnsi="Georgia"/>
          <w:sz w:val="22"/>
          <w:szCs w:val="22"/>
        </w:rPr>
        <w:t>’s</w:t>
      </w:r>
      <w:r>
        <w:rPr>
          <w:rFonts w:ascii="Georgia" w:hAnsi="Georgia"/>
          <w:sz w:val="22"/>
          <w:szCs w:val="22"/>
        </w:rPr>
        <w:t xml:space="preserve"> disease (PD) for which R</w:t>
      </w:r>
      <w:r w:rsidR="00A84940">
        <w:rPr>
          <w:rFonts w:ascii="Georgia" w:hAnsi="Georgia"/>
          <w:sz w:val="22"/>
          <w:szCs w:val="22"/>
        </w:rPr>
        <w:t>YTARY</w:t>
      </w:r>
      <w:r>
        <w:rPr>
          <w:rFonts w:ascii="Georgia" w:hAnsi="Georgia"/>
          <w:sz w:val="22"/>
          <w:szCs w:val="22"/>
        </w:rPr>
        <w:t xml:space="preserve"> has been FDA</w:t>
      </w:r>
      <w:r w:rsidR="001F198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approved.</w:t>
      </w:r>
      <w:r w:rsidRPr="00EE0B73">
        <w:rPr>
          <w:rFonts w:ascii="Georgia" w:hAnsi="Georgia"/>
          <w:sz w:val="22"/>
          <w:szCs w:val="22"/>
          <w:vertAlign w:val="superscript"/>
        </w:rPr>
        <w:fldChar w:fldCharType="begin"/>
      </w:r>
      <w:r w:rsidRPr="00EE0B73">
        <w:rPr>
          <w:rFonts w:ascii="Georgia" w:hAnsi="Georgia"/>
          <w:sz w:val="22"/>
          <w:szCs w:val="22"/>
          <w:vertAlign w:val="superscript"/>
        </w:rPr>
        <w:instrText xml:space="preserve"> ADDIN EN.CITE &lt;EndNote&gt;&lt;Cite&gt;&lt;Year&gt;2019&lt;/Year&gt;&lt;RecNum&gt;1&lt;/RecNum&gt;&lt;DisplayText&gt;&lt;style face="superscript"&gt;1&lt;/style&gt;&lt;/DisplayText&gt;&lt;record&gt;&lt;rec-number&gt;1&lt;/rec-number&gt;&lt;foreign-keys&gt;&lt;key app="EN" db-id="tv0xtwp0b5sx0texz02xwrs7dreprfvtsdtr" timestamp="1586802140"&gt;1&lt;/key&gt;&lt;/foreign-keys&gt;&lt;ref-type name="Journal Article"&gt;17&lt;/ref-type&gt;&lt;contributors&gt;&lt;/contributors&gt;&lt;titles&gt;&lt;title&gt;Rytary product information&lt;/title&gt;&lt;/titles&gt;&lt;dates&gt;&lt;year&gt;2019&lt;/year&gt;&lt;/dates&gt;&lt;urls&gt;&lt;/urls&gt;&lt;/record&gt;&lt;/Cite&gt;&lt;/EndNote&gt;</w:instrText>
      </w:r>
      <w:r w:rsidRPr="00EE0B73">
        <w:rPr>
          <w:rFonts w:ascii="Georgia" w:hAnsi="Georgia"/>
          <w:sz w:val="22"/>
          <w:szCs w:val="22"/>
          <w:vertAlign w:val="superscript"/>
        </w:rPr>
        <w:fldChar w:fldCharType="separate"/>
      </w:r>
      <w:r w:rsidRPr="00EE0B73">
        <w:rPr>
          <w:rFonts w:ascii="Georgia" w:hAnsi="Georgia"/>
          <w:noProof/>
          <w:sz w:val="22"/>
          <w:szCs w:val="22"/>
          <w:vertAlign w:val="superscript"/>
        </w:rPr>
        <w:t>1</w:t>
      </w:r>
      <w:r w:rsidRPr="00EE0B73">
        <w:rPr>
          <w:rFonts w:ascii="Georgia" w:hAnsi="Georgia"/>
          <w:sz w:val="22"/>
          <w:szCs w:val="22"/>
          <w:vertAlign w:val="superscript"/>
        </w:rPr>
        <w:fldChar w:fldCharType="end"/>
      </w:r>
    </w:p>
    <w:p w14:paraId="0204EE7A" w14:textId="025548A8" w:rsidR="003A0406" w:rsidRDefault="003A0406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025C21">
        <w:rPr>
          <w:rFonts w:ascii="Georgia" w:hAnsi="Georgia"/>
          <w:sz w:val="22"/>
          <w:szCs w:val="22"/>
        </w:rPr>
        <w:t>This patient was recently diagnosed with PD</w:t>
      </w:r>
      <w:r w:rsidR="000521D4" w:rsidRPr="00025C21">
        <w:rPr>
          <w:rFonts w:ascii="Georgia" w:hAnsi="Georgia"/>
          <w:sz w:val="22"/>
          <w:szCs w:val="22"/>
        </w:rPr>
        <w:t>,</w:t>
      </w:r>
      <w:r w:rsidRPr="00025C21">
        <w:rPr>
          <w:rFonts w:ascii="Georgia" w:hAnsi="Georgia"/>
          <w:sz w:val="22"/>
          <w:szCs w:val="22"/>
        </w:rPr>
        <w:t xml:space="preserve"> and it is well recognized by experts that </w:t>
      </w:r>
      <w:r w:rsidR="00025C21" w:rsidRPr="00EE0B73">
        <w:rPr>
          <w:rFonts w:ascii="Georgia" w:hAnsi="Georgia" w:cs="Calibri"/>
          <w:sz w:val="22"/>
          <w:szCs w:val="22"/>
        </w:rPr>
        <w:t>carbidopa/levodopa is an effective drug treatment for PD</w:t>
      </w:r>
      <w:r w:rsidRPr="00524699">
        <w:rPr>
          <w:rFonts w:ascii="Georgia" w:hAnsi="Georgia" w:cs="Calibri"/>
          <w:sz w:val="22"/>
          <w:szCs w:val="22"/>
        </w:rPr>
        <w:t>. This</w:t>
      </w:r>
      <w:r>
        <w:rPr>
          <w:rFonts w:ascii="Georgia" w:hAnsi="Georgia"/>
          <w:sz w:val="22"/>
          <w:szCs w:val="22"/>
        </w:rPr>
        <w:t xml:space="preserve"> drug </w:t>
      </w:r>
      <w:r w:rsidR="00E64CA5">
        <w:rPr>
          <w:rFonts w:ascii="Georgia" w:hAnsi="Georgia"/>
          <w:sz w:val="22"/>
          <w:szCs w:val="22"/>
        </w:rPr>
        <w:t xml:space="preserve">results in </w:t>
      </w:r>
      <w:r w:rsidR="00803D81">
        <w:rPr>
          <w:rFonts w:ascii="Georgia" w:hAnsi="Georgia"/>
          <w:sz w:val="22"/>
          <w:szCs w:val="22"/>
        </w:rPr>
        <w:t>improvement in motor function</w:t>
      </w:r>
      <w:r w:rsidR="009813BD">
        <w:rPr>
          <w:rFonts w:ascii="Georgia" w:hAnsi="Georgia"/>
          <w:sz w:val="22"/>
          <w:szCs w:val="22"/>
        </w:rPr>
        <w:t xml:space="preserve"> and quality of life</w:t>
      </w:r>
      <w:r w:rsidR="00803D81">
        <w:rPr>
          <w:rFonts w:ascii="Georgia" w:hAnsi="Georgia"/>
          <w:sz w:val="22"/>
          <w:szCs w:val="22"/>
        </w:rPr>
        <w:t xml:space="preserve">, </w:t>
      </w:r>
      <w:r w:rsidR="00025C21">
        <w:rPr>
          <w:rFonts w:ascii="Georgia" w:hAnsi="Georgia"/>
          <w:sz w:val="22"/>
          <w:szCs w:val="22"/>
        </w:rPr>
        <w:t xml:space="preserve">and it is </w:t>
      </w:r>
      <w:r w:rsidR="005A791A">
        <w:rPr>
          <w:rFonts w:ascii="Georgia" w:hAnsi="Georgia"/>
          <w:sz w:val="22"/>
          <w:szCs w:val="22"/>
        </w:rPr>
        <w:t xml:space="preserve">now widely recognized on the basis of large clinical trials that levodopa is the </w:t>
      </w:r>
      <w:r w:rsidR="000859F2">
        <w:rPr>
          <w:rFonts w:ascii="Georgia" w:hAnsi="Georgia"/>
          <w:sz w:val="22"/>
          <w:szCs w:val="22"/>
        </w:rPr>
        <w:t>gold standard of</w:t>
      </w:r>
      <w:r w:rsidR="005A791A">
        <w:rPr>
          <w:rFonts w:ascii="Georgia" w:hAnsi="Georgia"/>
          <w:sz w:val="22"/>
          <w:szCs w:val="22"/>
        </w:rPr>
        <w:t xml:space="preserve"> treatment for PD.</w:t>
      </w:r>
      <w:r w:rsidR="00375C68">
        <w:rPr>
          <w:rFonts w:ascii="Georgia" w:hAnsi="Georgia"/>
          <w:sz w:val="22"/>
          <w:szCs w:val="22"/>
          <w:vertAlign w:val="superscript"/>
        </w:rPr>
        <w:t>2</w:t>
      </w:r>
      <w:r w:rsidR="00F21EB2">
        <w:rPr>
          <w:rFonts w:ascii="Georgia" w:hAnsi="Georgia"/>
          <w:sz w:val="22"/>
          <w:szCs w:val="22"/>
          <w:vertAlign w:val="superscript"/>
        </w:rPr>
        <w:t>,3</w:t>
      </w:r>
    </w:p>
    <w:p w14:paraId="544FDAA9" w14:textId="7A1B95B8" w:rsidR="00295F01" w:rsidRDefault="005A791A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Currently, there are </w:t>
      </w:r>
      <w:r w:rsidR="001F198B"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 xml:space="preserve"> forms of levodopa on the US market</w:t>
      </w:r>
      <w:r w:rsidR="00A84940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</w:t>
      </w:r>
      <w:r w:rsidR="001F198B">
        <w:rPr>
          <w:rFonts w:ascii="Georgia" w:hAnsi="Georgia"/>
          <w:sz w:val="22"/>
          <w:szCs w:val="22"/>
        </w:rPr>
        <w:t xml:space="preserve">all of </w:t>
      </w:r>
      <w:r w:rsidR="001C0143">
        <w:rPr>
          <w:rFonts w:ascii="Georgia" w:hAnsi="Georgia"/>
          <w:sz w:val="22"/>
          <w:szCs w:val="22"/>
        </w:rPr>
        <w:t xml:space="preserve">which </w:t>
      </w:r>
      <w:r>
        <w:rPr>
          <w:rFonts w:ascii="Georgia" w:hAnsi="Georgia"/>
          <w:sz w:val="22"/>
          <w:szCs w:val="22"/>
        </w:rPr>
        <w:t>have</w:t>
      </w:r>
      <w:r w:rsidR="00A84940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been </w:t>
      </w:r>
      <w:r w:rsidR="001F198B">
        <w:rPr>
          <w:rFonts w:ascii="Georgia" w:hAnsi="Georgia"/>
          <w:sz w:val="22"/>
          <w:szCs w:val="22"/>
        </w:rPr>
        <w:t>FDA</w:t>
      </w:r>
      <w:r w:rsidR="00AC6FF9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approved for use in PD. These include Sinemet</w:t>
      </w:r>
      <w:r w:rsidRPr="003A0406">
        <w:rPr>
          <w:rFonts w:ascii="Georgia" w:hAnsi="Georgia" w:cs="Times New Roman (Body CS)"/>
          <w:sz w:val="22"/>
          <w:szCs w:val="22"/>
          <w:vertAlign w:val="superscript"/>
        </w:rPr>
        <w:t>®</w:t>
      </w:r>
      <w:r>
        <w:rPr>
          <w:rFonts w:ascii="Georgia" w:hAnsi="Georgia"/>
          <w:sz w:val="22"/>
          <w:szCs w:val="22"/>
        </w:rPr>
        <w:t xml:space="preserve"> (immediate-release carbidopa/levodopa), Sinemet</w:t>
      </w:r>
      <w:r w:rsidRPr="003A0406">
        <w:rPr>
          <w:rFonts w:ascii="Georgia" w:hAnsi="Georgia" w:cs="Times New Roman (Body CS)"/>
          <w:sz w:val="22"/>
          <w:szCs w:val="22"/>
          <w:vertAlign w:val="superscript"/>
        </w:rPr>
        <w:t>®</w:t>
      </w:r>
      <w:r>
        <w:rPr>
          <w:rFonts w:ascii="Georgia" w:hAnsi="Georgia"/>
          <w:sz w:val="22"/>
          <w:szCs w:val="22"/>
        </w:rPr>
        <w:t xml:space="preserve"> CR (controlled-release carbidopa/levodopa)</w:t>
      </w:r>
      <w:r w:rsidR="00A84940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</w:t>
      </w:r>
      <w:r w:rsidR="0030279C">
        <w:rPr>
          <w:rFonts w:ascii="Georgia" w:hAnsi="Georgia"/>
          <w:sz w:val="22"/>
          <w:szCs w:val="22"/>
        </w:rPr>
        <w:t>Stalevo</w:t>
      </w:r>
      <w:r w:rsidR="0030279C" w:rsidRPr="0030279C">
        <w:rPr>
          <w:rFonts w:ascii="Georgia" w:hAnsi="Georgia"/>
          <w:sz w:val="22"/>
          <w:szCs w:val="22"/>
          <w:vertAlign w:val="superscript"/>
        </w:rPr>
        <w:t>®</w:t>
      </w:r>
      <w:r w:rsidR="0030279C">
        <w:rPr>
          <w:rFonts w:ascii="Georgia" w:hAnsi="Georgia"/>
          <w:sz w:val="22"/>
          <w:szCs w:val="22"/>
        </w:rPr>
        <w:t xml:space="preserve"> (carbidopa/levodopa</w:t>
      </w:r>
      <w:r w:rsidR="002D3B2F">
        <w:rPr>
          <w:rFonts w:ascii="Georgia" w:hAnsi="Georgia"/>
          <w:sz w:val="22"/>
          <w:szCs w:val="22"/>
        </w:rPr>
        <w:t>/</w:t>
      </w:r>
      <w:r w:rsidR="0030279C">
        <w:rPr>
          <w:rFonts w:ascii="Georgia" w:hAnsi="Georgia"/>
          <w:sz w:val="22"/>
          <w:szCs w:val="22"/>
        </w:rPr>
        <w:t xml:space="preserve"> entacapone), and</w:t>
      </w:r>
      <w:r>
        <w:rPr>
          <w:rFonts w:ascii="Georgia" w:hAnsi="Georgia"/>
          <w:sz w:val="22"/>
          <w:szCs w:val="22"/>
        </w:rPr>
        <w:t xml:space="preserve"> R</w:t>
      </w:r>
      <w:r w:rsidR="00A84940">
        <w:rPr>
          <w:rFonts w:ascii="Georgia" w:hAnsi="Georgia"/>
          <w:sz w:val="22"/>
          <w:szCs w:val="22"/>
        </w:rPr>
        <w:t>YTARY</w:t>
      </w:r>
      <w:r>
        <w:rPr>
          <w:rFonts w:ascii="Georgia" w:hAnsi="Georgia"/>
          <w:sz w:val="22"/>
          <w:szCs w:val="22"/>
        </w:rPr>
        <w:t>.</w:t>
      </w:r>
      <w:r w:rsidR="00F21EB2">
        <w:rPr>
          <w:rFonts w:ascii="Georgia" w:hAnsi="Georgia"/>
          <w:sz w:val="22"/>
          <w:szCs w:val="22"/>
          <w:vertAlign w:val="superscript"/>
        </w:rPr>
        <w:t>4</w:t>
      </w:r>
      <w:r w:rsidR="00375C68">
        <w:rPr>
          <w:rFonts w:ascii="Georgia" w:hAnsi="Georgia"/>
          <w:sz w:val="22"/>
          <w:szCs w:val="22"/>
          <w:vertAlign w:val="superscript"/>
        </w:rPr>
        <w:t>-</w:t>
      </w:r>
      <w:r w:rsidR="00F21EB2">
        <w:rPr>
          <w:rFonts w:ascii="Georgia" w:hAnsi="Georgia"/>
          <w:sz w:val="22"/>
          <w:szCs w:val="22"/>
          <w:vertAlign w:val="superscript"/>
        </w:rPr>
        <w:t>6</w:t>
      </w:r>
      <w:r w:rsidR="00375C68">
        <w:rPr>
          <w:rFonts w:ascii="Georgia" w:hAnsi="Georgia"/>
          <w:sz w:val="22"/>
          <w:szCs w:val="22"/>
          <w:vertAlign w:val="superscript"/>
        </w:rPr>
        <w:t xml:space="preserve"> </w:t>
      </w:r>
      <w:r>
        <w:rPr>
          <w:rFonts w:ascii="Georgia" w:hAnsi="Georgia"/>
          <w:sz w:val="22"/>
          <w:szCs w:val="22"/>
        </w:rPr>
        <w:t xml:space="preserve">While all </w:t>
      </w:r>
      <w:r w:rsidR="001F198B">
        <w:rPr>
          <w:rFonts w:ascii="Georgia" w:hAnsi="Georgia"/>
          <w:sz w:val="22"/>
          <w:szCs w:val="22"/>
        </w:rPr>
        <w:t>4</w:t>
      </w:r>
      <w:r>
        <w:rPr>
          <w:rFonts w:ascii="Georgia" w:hAnsi="Georgia"/>
          <w:sz w:val="22"/>
          <w:szCs w:val="22"/>
        </w:rPr>
        <w:t xml:space="preserve"> products consist of the same active ingredient</w:t>
      </w:r>
      <w:r w:rsidR="001F198B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(carbidopa/levodopa)</w:t>
      </w:r>
      <w:r w:rsidR="00E06BCA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they differ in their </w:t>
      </w:r>
      <w:r w:rsidR="0030279C">
        <w:rPr>
          <w:rFonts w:ascii="Georgia" w:hAnsi="Georgia"/>
          <w:sz w:val="22"/>
          <w:szCs w:val="22"/>
        </w:rPr>
        <w:t>plasma concentration</w:t>
      </w:r>
      <w:r w:rsidR="00D31146" w:rsidRPr="00D31146">
        <w:rPr>
          <w:rFonts w:ascii="Georgia" w:hAnsi="Georgia"/>
          <w:sz w:val="22"/>
          <w:szCs w:val="22"/>
        </w:rPr>
        <w:t>–</w:t>
      </w:r>
      <w:r w:rsidR="0030279C">
        <w:rPr>
          <w:rFonts w:ascii="Georgia" w:hAnsi="Georgia"/>
          <w:sz w:val="22"/>
          <w:szCs w:val="22"/>
        </w:rPr>
        <w:t>time profiles</w:t>
      </w:r>
      <w:r>
        <w:rPr>
          <w:rFonts w:ascii="Georgia" w:hAnsi="Georgia"/>
          <w:sz w:val="22"/>
          <w:szCs w:val="22"/>
        </w:rPr>
        <w:t>.</w:t>
      </w:r>
      <w:r w:rsidR="00F21EB2">
        <w:rPr>
          <w:rFonts w:ascii="Georgia" w:hAnsi="Georgia"/>
          <w:sz w:val="22"/>
          <w:szCs w:val="22"/>
          <w:vertAlign w:val="superscript"/>
        </w:rPr>
        <w:t>7</w:t>
      </w:r>
      <w:r w:rsidR="000859F2">
        <w:rPr>
          <w:rFonts w:ascii="Georgia" w:hAnsi="Georgia"/>
          <w:sz w:val="22"/>
          <w:szCs w:val="22"/>
          <w:vertAlign w:val="superscript"/>
        </w:rPr>
        <w:t xml:space="preserve"> </w:t>
      </w:r>
    </w:p>
    <w:p w14:paraId="75D7C231" w14:textId="72F3D531" w:rsidR="0093772B" w:rsidRDefault="00BF5DE4" w:rsidP="0093772B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importance of the plasma </w:t>
      </w:r>
      <w:r w:rsidR="0030279C">
        <w:rPr>
          <w:rFonts w:ascii="Georgia" w:hAnsi="Georgia"/>
          <w:sz w:val="22"/>
          <w:szCs w:val="22"/>
        </w:rPr>
        <w:t>concentration</w:t>
      </w:r>
      <w:r>
        <w:rPr>
          <w:rFonts w:ascii="Georgia" w:hAnsi="Georgia"/>
          <w:sz w:val="22"/>
          <w:szCs w:val="22"/>
        </w:rPr>
        <w:t xml:space="preserve"> </w:t>
      </w:r>
      <w:r w:rsidR="0030279C">
        <w:rPr>
          <w:rFonts w:ascii="Georgia" w:hAnsi="Georgia"/>
          <w:sz w:val="22"/>
          <w:szCs w:val="22"/>
        </w:rPr>
        <w:t xml:space="preserve">profile </w:t>
      </w:r>
      <w:r>
        <w:rPr>
          <w:rFonts w:ascii="Georgia" w:hAnsi="Georgia"/>
          <w:sz w:val="22"/>
          <w:szCs w:val="22"/>
        </w:rPr>
        <w:t>of levodopa can be understood by a careful review of the seminal paper by Albin and Leventhal</w:t>
      </w:r>
      <w:r w:rsidR="0038746E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which discusses in detail the normal physiology of the dopamine system and how </w:t>
      </w:r>
      <w:r w:rsidR="00A84940">
        <w:rPr>
          <w:rFonts w:ascii="Georgia" w:hAnsi="Georgia"/>
          <w:sz w:val="22"/>
          <w:szCs w:val="22"/>
        </w:rPr>
        <w:t>it</w:t>
      </w:r>
      <w:r>
        <w:rPr>
          <w:rFonts w:ascii="Georgia" w:hAnsi="Georgia"/>
          <w:sz w:val="22"/>
          <w:szCs w:val="22"/>
        </w:rPr>
        <w:t xml:space="preserve"> is d</w:t>
      </w:r>
      <w:r w:rsidR="00F673E0">
        <w:rPr>
          <w:rFonts w:ascii="Georgia" w:hAnsi="Georgia"/>
          <w:sz w:val="22"/>
          <w:szCs w:val="22"/>
        </w:rPr>
        <w:t>isrupted</w:t>
      </w:r>
      <w:r>
        <w:rPr>
          <w:rFonts w:ascii="Georgia" w:hAnsi="Georgia"/>
          <w:sz w:val="22"/>
          <w:szCs w:val="22"/>
        </w:rPr>
        <w:t xml:space="preserve"> in PD. The key point of this paper is that the paracrine </w:t>
      </w:r>
      <w:r w:rsidR="007F718F">
        <w:rPr>
          <w:rFonts w:ascii="Georgia" w:hAnsi="Georgia"/>
          <w:sz w:val="22"/>
          <w:szCs w:val="22"/>
        </w:rPr>
        <w:t xml:space="preserve">(long-lasting) </w:t>
      </w:r>
      <w:r>
        <w:rPr>
          <w:rFonts w:ascii="Georgia" w:hAnsi="Georgia"/>
          <w:sz w:val="22"/>
          <w:szCs w:val="22"/>
        </w:rPr>
        <w:t>effect</w:t>
      </w:r>
      <w:r w:rsidR="00AC6FF9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of dopamine in the brain </w:t>
      </w:r>
      <w:r w:rsidR="001C0143">
        <w:rPr>
          <w:rFonts w:ascii="Georgia" w:hAnsi="Georgia"/>
          <w:sz w:val="22"/>
          <w:szCs w:val="22"/>
        </w:rPr>
        <w:t>is essential for</w:t>
      </w:r>
      <w:r>
        <w:rPr>
          <w:rFonts w:ascii="Georgia" w:hAnsi="Georgia"/>
          <w:sz w:val="22"/>
          <w:szCs w:val="22"/>
        </w:rPr>
        <w:t xml:space="preserve"> </w:t>
      </w:r>
      <w:r w:rsidR="00F673E0">
        <w:rPr>
          <w:rFonts w:ascii="Georgia" w:hAnsi="Georgia"/>
          <w:sz w:val="22"/>
          <w:szCs w:val="22"/>
        </w:rPr>
        <w:t xml:space="preserve">counteracting </w:t>
      </w:r>
      <w:r>
        <w:rPr>
          <w:rFonts w:ascii="Georgia" w:hAnsi="Georgia"/>
          <w:sz w:val="22"/>
          <w:szCs w:val="22"/>
        </w:rPr>
        <w:t>the cardinal features of PD (slowing of movement, rigidity</w:t>
      </w:r>
      <w:r w:rsidR="00D31146">
        <w:rPr>
          <w:rFonts w:ascii="Georgia" w:hAnsi="Georgia"/>
          <w:sz w:val="22"/>
          <w:szCs w:val="22"/>
        </w:rPr>
        <w:t xml:space="preserve">, </w:t>
      </w:r>
      <w:r w:rsidR="005B4DD6">
        <w:rPr>
          <w:rFonts w:ascii="Georgia" w:hAnsi="Georgia"/>
          <w:sz w:val="22"/>
          <w:szCs w:val="22"/>
        </w:rPr>
        <w:t xml:space="preserve">and </w:t>
      </w:r>
      <w:r w:rsidR="00D31146">
        <w:rPr>
          <w:rFonts w:ascii="Georgia" w:hAnsi="Georgia"/>
          <w:sz w:val="22"/>
          <w:szCs w:val="22"/>
        </w:rPr>
        <w:t>resting</w:t>
      </w:r>
      <w:r w:rsidR="005B4DD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tremor). We learn from this paper tha</w:t>
      </w:r>
      <w:r w:rsidR="00E06BCA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any pharmacological agent that replaces dopamine in the brain will ideally exert long-term stimulation of dopamine receptors, which in turn is achieved by </w:t>
      </w:r>
      <w:r w:rsidR="001C0143">
        <w:rPr>
          <w:rFonts w:ascii="Georgia" w:hAnsi="Georgia"/>
          <w:sz w:val="22"/>
          <w:szCs w:val="22"/>
        </w:rPr>
        <w:t xml:space="preserve">using </w:t>
      </w:r>
      <w:r>
        <w:rPr>
          <w:rFonts w:ascii="Georgia" w:hAnsi="Georgia"/>
          <w:sz w:val="22"/>
          <w:szCs w:val="22"/>
        </w:rPr>
        <w:t xml:space="preserve">a drug with the </w:t>
      </w:r>
      <w:r>
        <w:rPr>
          <w:rFonts w:ascii="Georgia" w:hAnsi="Georgia"/>
          <w:sz w:val="22"/>
          <w:szCs w:val="22"/>
        </w:rPr>
        <w:lastRenderedPageBreak/>
        <w:t xml:space="preserve">longest plasma </w:t>
      </w:r>
      <w:r w:rsidR="00D31146">
        <w:rPr>
          <w:rFonts w:ascii="Georgia" w:hAnsi="Georgia"/>
          <w:sz w:val="22"/>
          <w:szCs w:val="22"/>
        </w:rPr>
        <w:t>concentration</w:t>
      </w:r>
      <w:r w:rsidR="00D31146" w:rsidRPr="00D31146">
        <w:rPr>
          <w:rFonts w:ascii="Georgia" w:hAnsi="Georgia"/>
          <w:sz w:val="22"/>
          <w:szCs w:val="22"/>
        </w:rPr>
        <w:t>–</w:t>
      </w:r>
      <w:r w:rsidR="00D31146">
        <w:rPr>
          <w:rFonts w:ascii="Georgia" w:hAnsi="Georgia"/>
          <w:sz w:val="22"/>
          <w:szCs w:val="22"/>
        </w:rPr>
        <w:t xml:space="preserve">time </w:t>
      </w:r>
      <w:r w:rsidR="00E10256">
        <w:rPr>
          <w:rFonts w:ascii="Georgia" w:hAnsi="Georgia"/>
          <w:sz w:val="22"/>
          <w:szCs w:val="22"/>
        </w:rPr>
        <w:t>profile</w:t>
      </w:r>
      <w:r>
        <w:rPr>
          <w:rFonts w:ascii="Georgia" w:hAnsi="Georgia"/>
          <w:sz w:val="22"/>
          <w:szCs w:val="22"/>
        </w:rPr>
        <w:t>.</w:t>
      </w:r>
      <w:r w:rsidR="00F21EB2">
        <w:rPr>
          <w:rFonts w:ascii="Georgia" w:hAnsi="Georgia"/>
          <w:sz w:val="22"/>
          <w:szCs w:val="22"/>
          <w:vertAlign w:val="superscript"/>
        </w:rPr>
        <w:t>8</w:t>
      </w:r>
      <w:r w:rsidR="0093772B">
        <w:rPr>
          <w:rFonts w:ascii="Georgia" w:hAnsi="Georgia"/>
          <w:sz w:val="22"/>
          <w:szCs w:val="22"/>
          <w:vertAlign w:val="superscript"/>
        </w:rPr>
        <w:t xml:space="preserve"> </w:t>
      </w:r>
      <w:r w:rsidR="0093772B" w:rsidRPr="000859F2">
        <w:rPr>
          <w:rFonts w:ascii="Georgia" w:hAnsi="Georgia"/>
          <w:sz w:val="22"/>
          <w:szCs w:val="22"/>
        </w:rPr>
        <w:t>An ideal therapy option must contain not only a long plasma concentration</w:t>
      </w:r>
      <w:r w:rsidR="00375D0F" w:rsidRPr="00D31146">
        <w:rPr>
          <w:rFonts w:ascii="Georgia" w:hAnsi="Georgia"/>
          <w:sz w:val="22"/>
          <w:szCs w:val="22"/>
        </w:rPr>
        <w:t>–</w:t>
      </w:r>
      <w:r w:rsidR="0093772B" w:rsidRPr="000859F2">
        <w:rPr>
          <w:rFonts w:ascii="Georgia" w:hAnsi="Georgia"/>
          <w:sz w:val="22"/>
          <w:szCs w:val="22"/>
        </w:rPr>
        <w:t>time profile, but also a favorable safety profile.</w:t>
      </w:r>
    </w:p>
    <w:p w14:paraId="4C5D4CDA" w14:textId="4DB028D5" w:rsidR="005A791A" w:rsidRPr="00EE0B73" w:rsidRDefault="000859F2" w:rsidP="00EE0B73">
      <w:pPr>
        <w:spacing w:line="360" w:lineRule="auto"/>
        <w:rPr>
          <w:rFonts w:ascii="Times New Roman" w:eastAsia="Times New Roman" w:hAnsi="Times New Roman" w:cs="Times New Roman"/>
        </w:rPr>
      </w:pPr>
      <w:r w:rsidRPr="000859F2">
        <w:rPr>
          <w:rFonts w:ascii="Georgia" w:hAnsi="Georgia"/>
          <w:color w:val="000000" w:themeColor="text1"/>
          <w:sz w:val="22"/>
          <w:szCs w:val="22"/>
        </w:rPr>
        <w:t xml:space="preserve">Another important rationale for using a long-lasting carbidopa/levodopa formulation is that, as long as plasma levels stay in the therapeutic window, </w:t>
      </w:r>
      <w:r w:rsidR="0093772B">
        <w:rPr>
          <w:rFonts w:ascii="Georgia" w:hAnsi="Georgia"/>
          <w:color w:val="000000" w:themeColor="text1"/>
          <w:sz w:val="22"/>
          <w:szCs w:val="22"/>
        </w:rPr>
        <w:t xml:space="preserve">it </w:t>
      </w:r>
      <w:r w:rsidRPr="000859F2">
        <w:rPr>
          <w:rFonts w:ascii="Georgia" w:hAnsi="Georgia"/>
          <w:color w:val="000000" w:themeColor="text1"/>
          <w:sz w:val="22"/>
          <w:szCs w:val="22"/>
        </w:rPr>
        <w:t>will lead to fewer dyskinesias than short</w:t>
      </w:r>
      <w:r w:rsidR="0093772B">
        <w:rPr>
          <w:rFonts w:ascii="Georgia" w:hAnsi="Georgia"/>
          <w:color w:val="000000" w:themeColor="text1"/>
          <w:sz w:val="22"/>
          <w:szCs w:val="22"/>
        </w:rPr>
        <w:t>er</w:t>
      </w:r>
      <w:r w:rsidRPr="000859F2">
        <w:rPr>
          <w:rFonts w:ascii="Georgia" w:hAnsi="Georgia"/>
          <w:color w:val="000000" w:themeColor="text1"/>
          <w:sz w:val="22"/>
          <w:szCs w:val="22"/>
        </w:rPr>
        <w:t>-last</w:t>
      </w:r>
      <w:r w:rsidR="0093772B">
        <w:rPr>
          <w:rFonts w:ascii="Georgia" w:hAnsi="Georgia"/>
          <w:color w:val="000000" w:themeColor="text1"/>
          <w:sz w:val="22"/>
          <w:szCs w:val="22"/>
        </w:rPr>
        <w:t>ing</w:t>
      </w:r>
      <w:r w:rsidRPr="000859F2">
        <w:rPr>
          <w:rFonts w:ascii="Georgia" w:hAnsi="Georgia"/>
          <w:color w:val="000000" w:themeColor="text1"/>
          <w:sz w:val="22"/>
          <w:szCs w:val="22"/>
        </w:rPr>
        <w:t xml:space="preserve"> formulations. </w:t>
      </w:r>
      <w:r w:rsidR="002C1FA5" w:rsidRPr="00EE0B73">
        <w:rPr>
          <w:rFonts w:ascii="Georgia" w:hAnsi="Georgia"/>
          <w:color w:val="000000" w:themeColor="text1"/>
          <w:sz w:val="22"/>
          <w:szCs w:val="22"/>
        </w:rPr>
        <w:t>Dyskinesias</w:t>
      </w:r>
      <w:r w:rsidR="00BB0F3F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="002C1FA5" w:rsidRPr="00EE0B73">
        <w:rPr>
          <w:rFonts w:ascii="Georgia" w:hAnsi="Georgia"/>
          <w:color w:val="000000" w:themeColor="text1"/>
          <w:sz w:val="22"/>
          <w:szCs w:val="22"/>
        </w:rPr>
        <w:t>abnormal movements that develop with time in patients taking levodopa, can be very disabling and often necessitate</w:t>
      </w:r>
      <w:r w:rsidR="005B4DD6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2C1FA5" w:rsidRPr="00EE0B73">
        <w:rPr>
          <w:rFonts w:ascii="Georgia" w:hAnsi="Georgia"/>
          <w:color w:val="000000" w:themeColor="text1"/>
          <w:sz w:val="22"/>
          <w:szCs w:val="22"/>
        </w:rPr>
        <w:t xml:space="preserve">additional drug therapy to control. </w:t>
      </w:r>
      <w:r w:rsidR="00295F01">
        <w:rPr>
          <w:rFonts w:ascii="Georgia" w:hAnsi="Georgia"/>
          <w:color w:val="000000" w:themeColor="text1"/>
          <w:sz w:val="22"/>
          <w:szCs w:val="22"/>
        </w:rPr>
        <w:t>Studies have shown that d</w:t>
      </w:r>
      <w:r w:rsidR="002C1FA5" w:rsidRPr="00EE0B73">
        <w:rPr>
          <w:rFonts w:ascii="Georgia" w:hAnsi="Georgia"/>
          <w:color w:val="000000" w:themeColor="text1"/>
          <w:sz w:val="22"/>
          <w:szCs w:val="22"/>
        </w:rPr>
        <w:t>yskinesia</w:t>
      </w:r>
      <w:r w:rsidR="005B4DD6">
        <w:rPr>
          <w:rFonts w:ascii="Georgia" w:hAnsi="Georgia"/>
          <w:color w:val="000000" w:themeColor="text1"/>
          <w:sz w:val="22"/>
          <w:szCs w:val="22"/>
        </w:rPr>
        <w:t>s</w:t>
      </w:r>
      <w:r w:rsidR="002C1FA5" w:rsidRPr="00EE0B73">
        <w:rPr>
          <w:rFonts w:ascii="Georgia" w:hAnsi="Georgia"/>
          <w:color w:val="000000" w:themeColor="text1"/>
          <w:sz w:val="22"/>
          <w:szCs w:val="22"/>
        </w:rPr>
        <w:t xml:space="preserve"> associated with the pulsatile nature of the traditional delivery of levodopa plasma levels could possibly be prevented or even reversed with the continuous stimulation of longer-lasting treatments</w:t>
      </w:r>
      <w:r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0859F2">
        <w:rPr>
          <w:rFonts w:ascii="Georgia" w:hAnsi="Georgia"/>
          <w:color w:val="000000" w:themeColor="text1"/>
          <w:sz w:val="22"/>
          <w:szCs w:val="22"/>
        </w:rPr>
        <w:t>when plasma levels are sustained within the therapeutic window</w:t>
      </w:r>
      <w:r w:rsidR="00375C68">
        <w:rPr>
          <w:rFonts w:ascii="Georgia" w:hAnsi="Georgia"/>
          <w:color w:val="000000" w:themeColor="text1"/>
          <w:sz w:val="22"/>
          <w:szCs w:val="22"/>
        </w:rPr>
        <w:t>.</w:t>
      </w:r>
      <w:r w:rsidR="00F21EB2">
        <w:rPr>
          <w:rFonts w:ascii="Georgia" w:hAnsi="Georgia"/>
          <w:color w:val="000000" w:themeColor="text1"/>
          <w:sz w:val="22"/>
          <w:szCs w:val="22"/>
          <w:vertAlign w:val="superscript"/>
        </w:rPr>
        <w:t>9</w:t>
      </w:r>
    </w:p>
    <w:p w14:paraId="28FA80FD" w14:textId="13CDE4E1" w:rsidR="004A7EFE" w:rsidRDefault="000859F2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0859F2">
        <w:rPr>
          <w:rFonts w:ascii="Georgia" w:hAnsi="Georgia"/>
          <w:noProof/>
          <w:sz w:val="22"/>
          <w:szCs w:val="22"/>
        </w:rPr>
        <w:t>Figure 1, which compares the mean plasma concentration–time profiles of the 4 available forms of carbidopa/levodopa, shows that RYTARY sustains levodopa levels for 1.9 to 2.5 hours longer than the other carbidopa/levodopa treatments</w:t>
      </w:r>
      <w:r w:rsidR="00402994">
        <w:rPr>
          <w:rFonts w:ascii="Georgia" w:hAnsi="Georgia"/>
          <w:sz w:val="22"/>
          <w:szCs w:val="22"/>
        </w:rPr>
        <w:t>.</w:t>
      </w:r>
      <w:r w:rsidR="00F21EB2">
        <w:rPr>
          <w:rFonts w:ascii="Georgia" w:hAnsi="Georgia"/>
          <w:sz w:val="22"/>
          <w:szCs w:val="22"/>
          <w:vertAlign w:val="superscript"/>
        </w:rPr>
        <w:t>7</w:t>
      </w:r>
      <w:r w:rsidR="00BE73FB">
        <w:rPr>
          <w:rFonts w:ascii="Georgia" w:hAnsi="Georgia"/>
          <w:sz w:val="22"/>
          <w:szCs w:val="22"/>
        </w:rPr>
        <w:t xml:space="preserve"> </w:t>
      </w:r>
      <w:r w:rsidR="00295F01">
        <w:rPr>
          <w:rFonts w:ascii="Georgia" w:hAnsi="Georgia"/>
          <w:sz w:val="22"/>
          <w:szCs w:val="22"/>
        </w:rPr>
        <w:t>This study supports the</w:t>
      </w:r>
      <w:r w:rsidR="005A7948">
        <w:rPr>
          <w:rFonts w:ascii="Georgia" w:hAnsi="Georgia"/>
          <w:sz w:val="22"/>
          <w:szCs w:val="22"/>
        </w:rPr>
        <w:t xml:space="preserve"> rational</w:t>
      </w:r>
      <w:r w:rsidR="00D31146">
        <w:rPr>
          <w:rFonts w:ascii="Georgia" w:hAnsi="Georgia"/>
          <w:sz w:val="22"/>
          <w:szCs w:val="22"/>
        </w:rPr>
        <w:t>e</w:t>
      </w:r>
      <w:r w:rsidR="005A7948">
        <w:rPr>
          <w:rFonts w:ascii="Georgia" w:hAnsi="Georgia"/>
          <w:sz w:val="22"/>
          <w:szCs w:val="22"/>
        </w:rPr>
        <w:t xml:space="preserve"> to u</w:t>
      </w:r>
      <w:r w:rsidR="00CB0F47">
        <w:rPr>
          <w:rFonts w:ascii="Georgia" w:hAnsi="Georgia"/>
          <w:sz w:val="22"/>
          <w:szCs w:val="22"/>
        </w:rPr>
        <w:t>se</w:t>
      </w:r>
      <w:r w:rsidR="005A7948">
        <w:rPr>
          <w:rFonts w:ascii="Georgia" w:hAnsi="Georgia"/>
          <w:sz w:val="22"/>
          <w:szCs w:val="22"/>
        </w:rPr>
        <w:t xml:space="preserve"> </w:t>
      </w:r>
      <w:r w:rsidR="00A84940">
        <w:rPr>
          <w:rFonts w:ascii="Georgia" w:hAnsi="Georgia"/>
          <w:sz w:val="22"/>
          <w:szCs w:val="22"/>
        </w:rPr>
        <w:t>RYTARY</w:t>
      </w:r>
      <w:r w:rsidR="005A7948">
        <w:rPr>
          <w:rFonts w:ascii="Georgia" w:hAnsi="Georgia"/>
          <w:sz w:val="22"/>
          <w:szCs w:val="22"/>
        </w:rPr>
        <w:t xml:space="preserve"> instead of the o</w:t>
      </w:r>
      <w:r>
        <w:rPr>
          <w:rFonts w:ascii="Georgia" w:hAnsi="Georgia"/>
          <w:sz w:val="22"/>
          <w:szCs w:val="22"/>
        </w:rPr>
        <w:t>ther</w:t>
      </w:r>
      <w:r w:rsidR="005A7948">
        <w:rPr>
          <w:rFonts w:ascii="Georgia" w:hAnsi="Georgia"/>
          <w:sz w:val="22"/>
          <w:szCs w:val="22"/>
        </w:rPr>
        <w:t xml:space="preserve"> carbidopa-levodopa products because the clinical goal is to achieve long-lasting dopamine receptor stimulation in a fashion that most closely mimics the way the normal brain produces and releases this important neurotransmitter.</w:t>
      </w:r>
      <w:r w:rsidR="005C5673">
        <w:rPr>
          <w:rFonts w:ascii="Georgia" w:hAnsi="Georgia"/>
          <w:sz w:val="22"/>
          <w:szCs w:val="22"/>
        </w:rPr>
        <w:t xml:space="preserve"> </w:t>
      </w:r>
    </w:p>
    <w:p w14:paraId="09B40A2B" w14:textId="3B6BBD84" w:rsidR="009813BD" w:rsidRDefault="00336BE4" w:rsidP="003A0406">
      <w:pPr>
        <w:spacing w:before="120" w:after="120" w:line="360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noProof/>
          <w:sz w:val="22"/>
          <w:szCs w:val="22"/>
        </w:rPr>
        <w:drawing>
          <wp:inline distT="0" distB="0" distL="0" distR="0" wp14:anchorId="2F523789" wp14:editId="7E02E3FB">
            <wp:extent cx="5943600" cy="3465195"/>
            <wp:effectExtent l="0" t="0" r="0" b="1905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_PK_FINAL_R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0966" w14:textId="1FBBCA43" w:rsidR="002D3B2F" w:rsidRPr="00741784" w:rsidRDefault="002D3B2F" w:rsidP="003A0406">
      <w:pPr>
        <w:spacing w:before="120" w:after="120" w:line="360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In a 30-week study, </w:t>
      </w:r>
      <w:r w:rsidR="0022030B">
        <w:rPr>
          <w:rFonts w:ascii="Georgia" w:hAnsi="Georgia" w:cs="Calibri"/>
          <w:sz w:val="22"/>
          <w:szCs w:val="22"/>
        </w:rPr>
        <w:t xml:space="preserve">RYTARY provided significant clinical benefits in the mental activity and activities of daily living in levodopa-naïve patients. This study also demonstrated </w:t>
      </w:r>
      <w:r w:rsidR="007F718F">
        <w:rPr>
          <w:rFonts w:ascii="Georgia" w:hAnsi="Georgia" w:cs="Calibri"/>
          <w:sz w:val="22"/>
          <w:szCs w:val="22"/>
        </w:rPr>
        <w:t xml:space="preserve">the safety of </w:t>
      </w:r>
      <w:r w:rsidR="007F718F">
        <w:rPr>
          <w:rFonts w:ascii="Georgia" w:hAnsi="Georgia" w:cs="Calibri"/>
          <w:sz w:val="22"/>
          <w:szCs w:val="22"/>
        </w:rPr>
        <w:lastRenderedPageBreak/>
        <w:t>RYTARY</w:t>
      </w:r>
      <w:r w:rsidR="0022030B">
        <w:rPr>
          <w:rFonts w:ascii="Georgia" w:hAnsi="Georgia" w:cs="Calibri"/>
          <w:sz w:val="22"/>
          <w:szCs w:val="22"/>
        </w:rPr>
        <w:t xml:space="preserve">. During the study only </w:t>
      </w:r>
      <w:r w:rsidR="003D0160">
        <w:rPr>
          <w:rFonts w:ascii="Georgia" w:hAnsi="Georgia" w:cs="Calibri"/>
          <w:sz w:val="22"/>
          <w:szCs w:val="22"/>
        </w:rPr>
        <w:t>2</w:t>
      </w:r>
      <w:r w:rsidR="0022030B">
        <w:rPr>
          <w:rFonts w:ascii="Georgia" w:hAnsi="Georgia" w:cs="Calibri"/>
          <w:sz w:val="22"/>
          <w:szCs w:val="22"/>
        </w:rPr>
        <w:t>.</w:t>
      </w:r>
      <w:r w:rsidR="003D0160">
        <w:rPr>
          <w:rFonts w:ascii="Georgia" w:hAnsi="Georgia" w:cs="Calibri"/>
          <w:sz w:val="22"/>
          <w:szCs w:val="22"/>
        </w:rPr>
        <w:t>9</w:t>
      </w:r>
      <w:r w:rsidR="0022030B">
        <w:rPr>
          <w:rFonts w:ascii="Georgia" w:hAnsi="Georgia" w:cs="Calibri"/>
          <w:sz w:val="22"/>
          <w:szCs w:val="22"/>
        </w:rPr>
        <w:t xml:space="preserve">% of patients experienced any sort of dyskinesia and that number </w:t>
      </w:r>
      <w:r w:rsidR="003D0160">
        <w:rPr>
          <w:rFonts w:ascii="Georgia" w:hAnsi="Georgia" w:cs="Calibri"/>
          <w:sz w:val="22"/>
          <w:szCs w:val="22"/>
        </w:rPr>
        <w:t>was only</w:t>
      </w:r>
      <w:r w:rsidR="0022030B">
        <w:rPr>
          <w:rFonts w:ascii="Georgia" w:hAnsi="Georgia" w:cs="Calibri"/>
          <w:sz w:val="22"/>
          <w:szCs w:val="22"/>
        </w:rPr>
        <w:t xml:space="preserve"> 2.3% </w:t>
      </w:r>
      <w:r w:rsidR="003D0160">
        <w:rPr>
          <w:rFonts w:ascii="Georgia" w:hAnsi="Georgia" w:cs="Calibri"/>
          <w:sz w:val="22"/>
          <w:szCs w:val="22"/>
        </w:rPr>
        <w:t xml:space="preserve">for </w:t>
      </w:r>
      <w:r w:rsidR="0022030B">
        <w:rPr>
          <w:rFonts w:ascii="Georgia" w:hAnsi="Georgia" w:cs="Calibri"/>
          <w:sz w:val="22"/>
          <w:szCs w:val="22"/>
        </w:rPr>
        <w:t xml:space="preserve">patients </w:t>
      </w:r>
      <w:r w:rsidR="003D0160">
        <w:rPr>
          <w:rFonts w:ascii="Georgia" w:hAnsi="Georgia" w:cs="Calibri"/>
          <w:sz w:val="22"/>
          <w:szCs w:val="22"/>
        </w:rPr>
        <w:t xml:space="preserve">taking the lowest dose of </w:t>
      </w:r>
      <w:r w:rsidR="0022030B">
        <w:rPr>
          <w:rFonts w:ascii="Georgia" w:hAnsi="Georgia" w:cs="Calibri"/>
          <w:sz w:val="22"/>
          <w:szCs w:val="22"/>
        </w:rPr>
        <w:t>RYTARY.</w:t>
      </w:r>
      <w:r w:rsidR="00F21EB2">
        <w:rPr>
          <w:rFonts w:ascii="Georgia" w:hAnsi="Georgia" w:cs="Calibri"/>
          <w:sz w:val="22"/>
          <w:szCs w:val="22"/>
          <w:vertAlign w:val="superscript"/>
        </w:rPr>
        <w:t xml:space="preserve">10 </w:t>
      </w:r>
      <w:r w:rsidR="00741784">
        <w:rPr>
          <w:rFonts w:ascii="Georgia" w:hAnsi="Georgia" w:cs="Calibri"/>
          <w:sz w:val="22"/>
          <w:szCs w:val="22"/>
        </w:rPr>
        <w:t xml:space="preserve">In </w:t>
      </w:r>
      <w:r w:rsidR="003D0160">
        <w:rPr>
          <w:rFonts w:ascii="Georgia" w:hAnsi="Georgia" w:cs="Calibri"/>
          <w:sz w:val="22"/>
          <w:szCs w:val="22"/>
        </w:rPr>
        <w:t xml:space="preserve">the 9-month, </w:t>
      </w:r>
      <w:r w:rsidR="00741784">
        <w:rPr>
          <w:rFonts w:ascii="Georgia" w:hAnsi="Georgia" w:cs="Calibri"/>
          <w:sz w:val="22"/>
          <w:szCs w:val="22"/>
        </w:rPr>
        <w:t xml:space="preserve">open-label extension </w:t>
      </w:r>
      <w:r w:rsidR="003D0160">
        <w:rPr>
          <w:rFonts w:ascii="Georgia" w:hAnsi="Georgia" w:cs="Calibri"/>
          <w:sz w:val="22"/>
          <w:szCs w:val="22"/>
        </w:rPr>
        <w:t xml:space="preserve">of this </w:t>
      </w:r>
      <w:r w:rsidR="00741784">
        <w:rPr>
          <w:rFonts w:ascii="Georgia" w:hAnsi="Georgia" w:cs="Calibri"/>
          <w:sz w:val="22"/>
          <w:szCs w:val="22"/>
        </w:rPr>
        <w:t>study, the incidence of dyskinesia reported by patients</w:t>
      </w:r>
      <w:r w:rsidR="00485579">
        <w:rPr>
          <w:rFonts w:ascii="Georgia" w:hAnsi="Georgia" w:cs="Calibri"/>
          <w:sz w:val="22"/>
          <w:szCs w:val="22"/>
        </w:rPr>
        <w:t xml:space="preserve"> with early PD</w:t>
      </w:r>
      <w:r w:rsidR="00741784">
        <w:rPr>
          <w:rFonts w:ascii="Georgia" w:hAnsi="Georgia" w:cs="Calibri"/>
          <w:sz w:val="22"/>
          <w:szCs w:val="22"/>
        </w:rPr>
        <w:t xml:space="preserve"> taking RYTARY was only 1.9%.</w:t>
      </w:r>
      <w:r w:rsidR="00741784" w:rsidRPr="00741784">
        <w:rPr>
          <w:rFonts w:ascii="Georgia" w:hAnsi="Georgia" w:cs="Calibri"/>
          <w:sz w:val="22"/>
          <w:szCs w:val="22"/>
          <w:vertAlign w:val="superscript"/>
        </w:rPr>
        <w:t>1</w:t>
      </w:r>
      <w:r w:rsidR="00F21EB2">
        <w:rPr>
          <w:rFonts w:ascii="Georgia" w:hAnsi="Georgia" w:cs="Calibri"/>
          <w:sz w:val="22"/>
          <w:szCs w:val="22"/>
          <w:vertAlign w:val="superscript"/>
        </w:rPr>
        <w:t>1</w:t>
      </w:r>
    </w:p>
    <w:p w14:paraId="73FE667E" w14:textId="1B6F19BC" w:rsidR="000828C2" w:rsidRPr="000744EC" w:rsidRDefault="002C1FA5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Beyond the </w:t>
      </w:r>
      <w:r w:rsidR="00295F01">
        <w:rPr>
          <w:rFonts w:ascii="Georgia" w:hAnsi="Georgia"/>
          <w:sz w:val="22"/>
          <w:szCs w:val="22"/>
        </w:rPr>
        <w:t xml:space="preserve">theoretical </w:t>
      </w:r>
      <w:r>
        <w:rPr>
          <w:rFonts w:ascii="Georgia" w:hAnsi="Georgia"/>
          <w:sz w:val="22"/>
          <w:szCs w:val="22"/>
        </w:rPr>
        <w:t>rationale</w:t>
      </w:r>
      <w:r w:rsidR="00295F01">
        <w:rPr>
          <w:rFonts w:ascii="Georgia" w:hAnsi="Georgia"/>
          <w:sz w:val="22"/>
          <w:szCs w:val="22"/>
        </w:rPr>
        <w:t xml:space="preserve"> that the pharmacological agent with the </w:t>
      </w:r>
      <w:r w:rsidR="00CB0F47" w:rsidRPr="00CB0F47">
        <w:rPr>
          <w:rFonts w:ascii="Georgia" w:hAnsi="Georgia"/>
          <w:sz w:val="22"/>
          <w:szCs w:val="22"/>
        </w:rPr>
        <w:t>longest plasma concentration–time profile</w:t>
      </w:r>
      <w:r w:rsidR="00295F01">
        <w:rPr>
          <w:rFonts w:ascii="Georgia" w:hAnsi="Georgia"/>
          <w:sz w:val="22"/>
          <w:szCs w:val="22"/>
        </w:rPr>
        <w:t xml:space="preserve"> will exert the longest stimulation of dopamine </w:t>
      </w:r>
      <w:r w:rsidR="005B4DD6">
        <w:rPr>
          <w:rFonts w:ascii="Georgia" w:hAnsi="Georgia"/>
          <w:sz w:val="22"/>
          <w:szCs w:val="22"/>
        </w:rPr>
        <w:t>receptors,</w:t>
      </w:r>
      <w:r w:rsidR="00295F0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it is important to note that the benefits of RYTARY were achieved in patients without troublesome dyskinesia.</w:t>
      </w:r>
      <w:r w:rsidR="0004243B" w:rsidRPr="0004243B">
        <w:rPr>
          <w:rFonts w:ascii="Georgia" w:hAnsi="Georgia"/>
          <w:sz w:val="22"/>
          <w:szCs w:val="22"/>
          <w:vertAlign w:val="superscript"/>
        </w:rPr>
        <w:t>12</w:t>
      </w:r>
      <w:r>
        <w:rPr>
          <w:rFonts w:ascii="Georgia" w:hAnsi="Georgia"/>
          <w:sz w:val="22"/>
          <w:szCs w:val="22"/>
        </w:rPr>
        <w:t xml:space="preserve"> </w:t>
      </w:r>
      <w:r w:rsidR="008B752C">
        <w:rPr>
          <w:rFonts w:ascii="Georgia" w:hAnsi="Georgia" w:cs="Calibri"/>
          <w:color w:val="000000" w:themeColor="text1"/>
          <w:sz w:val="22"/>
          <w:szCs w:val="22"/>
        </w:rPr>
        <w:t xml:space="preserve">In my opinion, RYTARY would </w:t>
      </w:r>
      <w:r w:rsidR="007F718F">
        <w:rPr>
          <w:rFonts w:ascii="Georgia" w:hAnsi="Georgia" w:cs="Calibri"/>
          <w:color w:val="000000" w:themeColor="text1"/>
          <w:sz w:val="22"/>
          <w:szCs w:val="22"/>
        </w:rPr>
        <w:t>be the most appropriate treatment option for my patient</w:t>
      </w:r>
      <w:r w:rsidR="008B752C">
        <w:rPr>
          <w:rFonts w:ascii="Georgia" w:hAnsi="Georgia" w:cs="Calibri"/>
          <w:color w:val="000000" w:themeColor="text1"/>
          <w:sz w:val="22"/>
          <w:szCs w:val="22"/>
        </w:rPr>
        <w:t xml:space="preserve">. </w:t>
      </w:r>
    </w:p>
    <w:p w14:paraId="0B6D12F5" w14:textId="1AC69A9D" w:rsidR="00375C68" w:rsidRDefault="000828C2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light of the foregoing considerations, it is essential that you approve </w:t>
      </w:r>
      <w:r w:rsidR="00A84940">
        <w:rPr>
          <w:rFonts w:ascii="Georgia" w:hAnsi="Georgia"/>
          <w:sz w:val="22"/>
          <w:szCs w:val="22"/>
        </w:rPr>
        <w:t>RYTARY</w:t>
      </w:r>
      <w:r>
        <w:rPr>
          <w:rFonts w:ascii="Georgia" w:hAnsi="Georgia"/>
          <w:sz w:val="22"/>
          <w:szCs w:val="22"/>
        </w:rPr>
        <w:t xml:space="preserve"> for </w:t>
      </w:r>
      <w:r w:rsidR="00E06BCA">
        <w:rPr>
          <w:rFonts w:ascii="Georgia" w:hAnsi="Georgia"/>
          <w:sz w:val="22"/>
          <w:szCs w:val="22"/>
        </w:rPr>
        <w:t>my</w:t>
      </w:r>
      <w:r>
        <w:rPr>
          <w:rFonts w:ascii="Georgia" w:hAnsi="Georgia"/>
          <w:sz w:val="22"/>
          <w:szCs w:val="22"/>
        </w:rPr>
        <w:t xml:space="preserve"> patient. </w:t>
      </w:r>
      <w:r w:rsidR="00100D26" w:rsidRPr="00100D26">
        <w:rPr>
          <w:rFonts w:ascii="Georgia" w:hAnsi="Georgia"/>
          <w:sz w:val="22"/>
          <w:szCs w:val="22"/>
        </w:rPr>
        <w:t>It is my view that use of other preparations of levodopa will lead to more motor fluctuations, which could result in harm to my patient and a significantly higher cost of care in the future.</w:t>
      </w:r>
      <w:r w:rsidR="00F21EB2" w:rsidRPr="00F21EB2">
        <w:rPr>
          <w:rFonts w:ascii="Georgia" w:hAnsi="Georgia"/>
          <w:sz w:val="22"/>
          <w:szCs w:val="22"/>
          <w:vertAlign w:val="superscript"/>
        </w:rPr>
        <w:t>1</w:t>
      </w:r>
      <w:r w:rsidR="0004243B">
        <w:rPr>
          <w:rFonts w:ascii="Georgia" w:hAnsi="Georgia"/>
          <w:sz w:val="22"/>
          <w:szCs w:val="22"/>
          <w:vertAlign w:val="superscript"/>
        </w:rPr>
        <w:t>3</w:t>
      </w:r>
      <w:r w:rsidR="00F21EB2" w:rsidRPr="00F21EB2">
        <w:rPr>
          <w:rFonts w:ascii="Georgia" w:hAnsi="Georgia"/>
          <w:sz w:val="22"/>
          <w:szCs w:val="22"/>
          <w:vertAlign w:val="superscript"/>
        </w:rPr>
        <w:t>,1</w:t>
      </w:r>
      <w:r w:rsidR="0004243B">
        <w:rPr>
          <w:rFonts w:ascii="Georgia" w:hAnsi="Georgia"/>
          <w:sz w:val="22"/>
          <w:szCs w:val="22"/>
          <w:vertAlign w:val="superscript"/>
        </w:rPr>
        <w:t>4</w:t>
      </w:r>
    </w:p>
    <w:p w14:paraId="237DFA28" w14:textId="7A7F9466" w:rsidR="000607E1" w:rsidRDefault="000607E1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Sincerely,</w:t>
      </w:r>
    </w:p>
    <w:p w14:paraId="682D6640" w14:textId="6B442DCC" w:rsidR="000607E1" w:rsidRDefault="000607E1" w:rsidP="003A0406">
      <w:pPr>
        <w:spacing w:before="120" w:after="120" w:line="360" w:lineRule="auto"/>
        <w:rPr>
          <w:rFonts w:ascii="Georgia" w:hAnsi="Georgia"/>
          <w:sz w:val="22"/>
          <w:szCs w:val="22"/>
        </w:rPr>
      </w:pPr>
      <w:r w:rsidRPr="00402994">
        <w:rPr>
          <w:rFonts w:ascii="Georgia" w:hAnsi="Georgia"/>
          <w:sz w:val="22"/>
          <w:szCs w:val="22"/>
          <w:highlight w:val="lightGray"/>
        </w:rPr>
        <w:t>Signature line</w:t>
      </w:r>
    </w:p>
    <w:p w14:paraId="72AB0EB6" w14:textId="77777777" w:rsidR="005E4023" w:rsidRDefault="005E4023" w:rsidP="005432A3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37524112" w14:textId="77777777" w:rsidR="005E4023" w:rsidRDefault="005E4023" w:rsidP="005432A3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</w:p>
    <w:p w14:paraId="2DDB2D3B" w14:textId="27606011" w:rsidR="00172FC1" w:rsidRPr="005432A3" w:rsidRDefault="000607E1" w:rsidP="005432A3">
      <w:pPr>
        <w:spacing w:before="120" w:after="120" w:line="360" w:lineRule="auto"/>
        <w:rPr>
          <w:rFonts w:ascii="Georgia" w:hAnsi="Georgia"/>
          <w:b/>
          <w:bCs/>
          <w:sz w:val="20"/>
          <w:szCs w:val="20"/>
        </w:rPr>
      </w:pPr>
      <w:r w:rsidRPr="005432A3">
        <w:rPr>
          <w:rFonts w:ascii="Georgia" w:hAnsi="Georgia"/>
          <w:b/>
          <w:bCs/>
          <w:sz w:val="20"/>
          <w:szCs w:val="20"/>
        </w:rPr>
        <w:t>REFERENCES</w:t>
      </w:r>
    </w:p>
    <w:p w14:paraId="30D09C80" w14:textId="77FE2E24" w:rsidR="005432A3" w:rsidRDefault="005432A3" w:rsidP="00375C68">
      <w:pPr>
        <w:spacing w:line="360" w:lineRule="auto"/>
        <w:rPr>
          <w:rFonts w:ascii="Georgia" w:hAnsi="Georgia"/>
          <w:sz w:val="20"/>
          <w:szCs w:val="20"/>
        </w:rPr>
      </w:pPr>
      <w:r w:rsidRPr="005432A3">
        <w:rPr>
          <w:rFonts w:ascii="Georgia" w:hAnsi="Georgia"/>
          <w:b/>
          <w:bCs/>
          <w:sz w:val="20"/>
          <w:szCs w:val="20"/>
        </w:rPr>
        <w:t>1.</w:t>
      </w:r>
      <w:r w:rsidRPr="005432A3">
        <w:rPr>
          <w:rFonts w:ascii="Georgia" w:hAnsi="Georgia"/>
          <w:sz w:val="20"/>
          <w:szCs w:val="20"/>
        </w:rPr>
        <w:t xml:space="preserve"> RYTARY [package insert]. Bridgewater, NJ: Amneal Specialty, a division of Amneal </w:t>
      </w:r>
      <w:r w:rsidR="001F198B" w:rsidRPr="005432A3">
        <w:rPr>
          <w:rFonts w:ascii="Georgia" w:hAnsi="Georgia"/>
          <w:sz w:val="20"/>
          <w:szCs w:val="20"/>
        </w:rPr>
        <w:t>Pharmaceuticals</w:t>
      </w:r>
      <w:r w:rsidRPr="005432A3">
        <w:rPr>
          <w:rFonts w:ascii="Georgia" w:hAnsi="Georgia"/>
          <w:sz w:val="20"/>
          <w:szCs w:val="20"/>
        </w:rPr>
        <w:t xml:space="preserve"> LLC; 2019</w:t>
      </w:r>
      <w:r w:rsidR="0038746E">
        <w:rPr>
          <w:rFonts w:ascii="Georgia" w:hAnsi="Georgia"/>
          <w:sz w:val="20"/>
          <w:szCs w:val="20"/>
        </w:rPr>
        <w:t>.</w:t>
      </w:r>
      <w:r w:rsidRPr="005432A3">
        <w:rPr>
          <w:rFonts w:ascii="Georgia" w:hAnsi="Georgia"/>
          <w:sz w:val="20"/>
          <w:szCs w:val="20"/>
        </w:rPr>
        <w:t xml:space="preserve"> </w:t>
      </w:r>
      <w:r w:rsidR="00375C68">
        <w:rPr>
          <w:rFonts w:ascii="Georgia" w:hAnsi="Georgia"/>
          <w:b/>
          <w:bCs/>
          <w:sz w:val="20"/>
          <w:szCs w:val="20"/>
        </w:rPr>
        <w:t>2</w:t>
      </w:r>
      <w:r w:rsidRPr="005432A3">
        <w:rPr>
          <w:rFonts w:ascii="Georgia" w:hAnsi="Georgia"/>
          <w:b/>
          <w:bCs/>
          <w:sz w:val="20"/>
          <w:szCs w:val="20"/>
        </w:rPr>
        <w:t>.</w:t>
      </w:r>
      <w:r w:rsidRPr="005432A3">
        <w:rPr>
          <w:rFonts w:ascii="Georgia" w:hAnsi="Georgia"/>
          <w:sz w:val="20"/>
          <w:szCs w:val="20"/>
        </w:rPr>
        <w:t xml:space="preserve"> </w:t>
      </w:r>
      <w:proofErr w:type="spellStart"/>
      <w:r w:rsidR="003524DC">
        <w:rPr>
          <w:rFonts w:ascii="Georgia" w:hAnsi="Georgia"/>
          <w:sz w:val="20"/>
          <w:szCs w:val="20"/>
        </w:rPr>
        <w:t>Poewe</w:t>
      </w:r>
      <w:proofErr w:type="spellEnd"/>
      <w:r w:rsidR="003524DC">
        <w:rPr>
          <w:rFonts w:ascii="Georgia" w:hAnsi="Georgia"/>
          <w:sz w:val="20"/>
          <w:szCs w:val="20"/>
        </w:rPr>
        <w:t xml:space="preserve"> W, </w:t>
      </w:r>
      <w:proofErr w:type="spellStart"/>
      <w:r w:rsidR="003524DC">
        <w:rPr>
          <w:rFonts w:ascii="Georgia" w:hAnsi="Georgia"/>
          <w:sz w:val="20"/>
          <w:szCs w:val="20"/>
        </w:rPr>
        <w:t>Antonini</w:t>
      </w:r>
      <w:proofErr w:type="spellEnd"/>
      <w:r w:rsidR="003524DC">
        <w:rPr>
          <w:rFonts w:ascii="Georgia" w:hAnsi="Georgia"/>
          <w:sz w:val="20"/>
          <w:szCs w:val="20"/>
        </w:rPr>
        <w:t xml:space="preserve"> A, </w:t>
      </w:r>
      <w:proofErr w:type="spellStart"/>
      <w:r w:rsidR="003524DC">
        <w:rPr>
          <w:rFonts w:ascii="Georgia" w:hAnsi="Georgia"/>
          <w:sz w:val="20"/>
          <w:szCs w:val="20"/>
        </w:rPr>
        <w:t>Zijlmans</w:t>
      </w:r>
      <w:proofErr w:type="spellEnd"/>
      <w:r w:rsidR="003524DC">
        <w:rPr>
          <w:rFonts w:ascii="Georgia" w:hAnsi="Georgia"/>
          <w:sz w:val="20"/>
          <w:szCs w:val="20"/>
        </w:rPr>
        <w:t xml:space="preserve"> JCM, </w:t>
      </w:r>
      <w:r w:rsidR="0004243B" w:rsidRPr="0004243B">
        <w:rPr>
          <w:rFonts w:ascii="Georgia" w:hAnsi="Georgia"/>
          <w:sz w:val="20"/>
          <w:szCs w:val="20"/>
        </w:rPr>
        <w:t xml:space="preserve">Burkhard PR, </w:t>
      </w:r>
      <w:proofErr w:type="spellStart"/>
      <w:r w:rsidR="0004243B" w:rsidRPr="0004243B">
        <w:rPr>
          <w:rFonts w:ascii="Georgia" w:hAnsi="Georgia"/>
          <w:sz w:val="20"/>
          <w:szCs w:val="20"/>
        </w:rPr>
        <w:t>Vingerhoets</w:t>
      </w:r>
      <w:proofErr w:type="spellEnd"/>
      <w:r w:rsidR="0004243B" w:rsidRPr="0004243B">
        <w:rPr>
          <w:rFonts w:ascii="Georgia" w:hAnsi="Georgia"/>
          <w:sz w:val="20"/>
          <w:szCs w:val="20"/>
        </w:rPr>
        <w:t xml:space="preserve"> F</w:t>
      </w:r>
      <w:r w:rsidR="003524DC">
        <w:rPr>
          <w:rFonts w:ascii="Georgia" w:hAnsi="Georgia"/>
          <w:sz w:val="20"/>
          <w:szCs w:val="20"/>
        </w:rPr>
        <w:t xml:space="preserve">. Levodopa in the treatment of Parkinson’s disease: an old drug still going strong. </w:t>
      </w:r>
      <w:r w:rsidR="003524DC" w:rsidRPr="003524DC">
        <w:rPr>
          <w:rFonts w:ascii="Georgia" w:hAnsi="Georgia"/>
          <w:i/>
          <w:iCs/>
          <w:sz w:val="20"/>
          <w:szCs w:val="20"/>
        </w:rPr>
        <w:t>Clin Interv Aging</w:t>
      </w:r>
      <w:r w:rsidR="003524DC">
        <w:rPr>
          <w:rFonts w:ascii="Georgia" w:hAnsi="Georgia"/>
          <w:sz w:val="20"/>
          <w:szCs w:val="20"/>
        </w:rPr>
        <w:t xml:space="preserve">. 2010;5(1):229-238. </w:t>
      </w:r>
      <w:r w:rsidR="003524DC" w:rsidRPr="003524DC">
        <w:rPr>
          <w:rFonts w:ascii="Georgia" w:hAnsi="Georgia"/>
          <w:b/>
          <w:bCs/>
          <w:sz w:val="20"/>
          <w:szCs w:val="20"/>
        </w:rPr>
        <w:t>3.</w:t>
      </w:r>
      <w:r w:rsidR="003524DC">
        <w:rPr>
          <w:rFonts w:ascii="Georgia" w:hAnsi="Georgia"/>
          <w:sz w:val="20"/>
          <w:szCs w:val="20"/>
        </w:rPr>
        <w:t xml:space="preserve"> </w:t>
      </w:r>
      <w:proofErr w:type="spellStart"/>
      <w:r w:rsidR="003524DC">
        <w:rPr>
          <w:rFonts w:ascii="Georgia" w:hAnsi="Georgia"/>
          <w:sz w:val="20"/>
          <w:szCs w:val="20"/>
        </w:rPr>
        <w:t>Ovallath</w:t>
      </w:r>
      <w:proofErr w:type="spellEnd"/>
      <w:r w:rsidR="003524DC">
        <w:rPr>
          <w:rFonts w:ascii="Georgia" w:hAnsi="Georgia"/>
          <w:sz w:val="20"/>
          <w:szCs w:val="20"/>
        </w:rPr>
        <w:t xml:space="preserve"> S, </w:t>
      </w:r>
      <w:proofErr w:type="spellStart"/>
      <w:r w:rsidR="003524DC">
        <w:rPr>
          <w:rFonts w:ascii="Georgia" w:hAnsi="Georgia"/>
          <w:sz w:val="20"/>
          <w:szCs w:val="20"/>
        </w:rPr>
        <w:t>Sulthana</w:t>
      </w:r>
      <w:proofErr w:type="spellEnd"/>
      <w:r w:rsidR="003524DC">
        <w:rPr>
          <w:rFonts w:ascii="Georgia" w:hAnsi="Georgia"/>
          <w:sz w:val="20"/>
          <w:szCs w:val="20"/>
        </w:rPr>
        <w:t xml:space="preserve"> B. Levodopa: history and therapeutic applications. </w:t>
      </w:r>
      <w:r w:rsidR="003524DC" w:rsidRPr="003524DC">
        <w:rPr>
          <w:rFonts w:ascii="Georgia" w:hAnsi="Georgia"/>
          <w:i/>
          <w:iCs/>
          <w:sz w:val="20"/>
          <w:szCs w:val="20"/>
        </w:rPr>
        <w:t xml:space="preserve">Ann Indian </w:t>
      </w:r>
      <w:proofErr w:type="spellStart"/>
      <w:r w:rsidR="0004243B">
        <w:rPr>
          <w:rFonts w:ascii="Georgia" w:hAnsi="Georgia"/>
          <w:i/>
          <w:iCs/>
          <w:sz w:val="20"/>
          <w:szCs w:val="20"/>
        </w:rPr>
        <w:t>Acad</w:t>
      </w:r>
      <w:proofErr w:type="spellEnd"/>
      <w:r w:rsidR="0004243B">
        <w:rPr>
          <w:rFonts w:ascii="Georgia" w:hAnsi="Georgia"/>
          <w:i/>
          <w:iCs/>
          <w:sz w:val="20"/>
          <w:szCs w:val="20"/>
        </w:rPr>
        <w:t xml:space="preserve"> </w:t>
      </w:r>
      <w:r w:rsidR="003524DC" w:rsidRPr="003524DC">
        <w:rPr>
          <w:rFonts w:ascii="Georgia" w:hAnsi="Georgia"/>
          <w:i/>
          <w:iCs/>
          <w:sz w:val="20"/>
          <w:szCs w:val="20"/>
        </w:rPr>
        <w:t>Neurol</w:t>
      </w:r>
      <w:r w:rsidR="003524DC">
        <w:rPr>
          <w:rFonts w:ascii="Georgia" w:hAnsi="Georgia"/>
          <w:sz w:val="20"/>
          <w:szCs w:val="20"/>
        </w:rPr>
        <w:t xml:space="preserve">. 2017;20(3):185-189. </w:t>
      </w:r>
      <w:r w:rsidR="003524DC">
        <w:rPr>
          <w:rFonts w:ascii="Georgia" w:hAnsi="Georgia"/>
          <w:b/>
          <w:bCs/>
          <w:sz w:val="20"/>
          <w:szCs w:val="20"/>
        </w:rPr>
        <w:t>4</w:t>
      </w:r>
      <w:r w:rsidRPr="005432A3">
        <w:rPr>
          <w:rFonts w:ascii="Georgia" w:hAnsi="Georgia"/>
          <w:b/>
          <w:bCs/>
          <w:sz w:val="20"/>
          <w:szCs w:val="20"/>
        </w:rPr>
        <w:t>.</w:t>
      </w:r>
      <w:r w:rsidRPr="005432A3">
        <w:rPr>
          <w:rFonts w:ascii="Georgia" w:hAnsi="Georgia"/>
          <w:sz w:val="20"/>
          <w:szCs w:val="20"/>
        </w:rPr>
        <w:t xml:space="preserve"> Sinemet [package insert]. Whitehouse Station, NJ: Merck Sharp &amp; Dohme Co</w:t>
      </w:r>
      <w:r w:rsidR="005B4DD6">
        <w:rPr>
          <w:rFonts w:ascii="Georgia" w:hAnsi="Georgia"/>
          <w:sz w:val="20"/>
          <w:szCs w:val="20"/>
        </w:rPr>
        <w:t>r</w:t>
      </w:r>
      <w:r w:rsidRPr="005432A3">
        <w:rPr>
          <w:rFonts w:ascii="Georgia" w:hAnsi="Georgia"/>
          <w:sz w:val="20"/>
          <w:szCs w:val="20"/>
        </w:rPr>
        <w:t>p., a subsidiary of Merck &amp; Co., Inc</w:t>
      </w:r>
      <w:r w:rsidR="00AE0A34">
        <w:rPr>
          <w:rFonts w:ascii="Georgia" w:hAnsi="Georgia"/>
          <w:sz w:val="20"/>
          <w:szCs w:val="20"/>
        </w:rPr>
        <w:t>.</w:t>
      </w:r>
      <w:r w:rsidR="005B4DD6">
        <w:rPr>
          <w:rFonts w:ascii="Georgia" w:hAnsi="Georgia"/>
          <w:sz w:val="20"/>
          <w:szCs w:val="20"/>
        </w:rPr>
        <w:t>;</w:t>
      </w:r>
      <w:r w:rsidRPr="005432A3">
        <w:rPr>
          <w:rFonts w:ascii="Georgia" w:hAnsi="Georgia"/>
          <w:sz w:val="20"/>
          <w:szCs w:val="20"/>
        </w:rPr>
        <w:t xml:space="preserve"> </w:t>
      </w:r>
      <w:r w:rsidR="00D31146">
        <w:rPr>
          <w:rFonts w:ascii="Georgia" w:hAnsi="Georgia"/>
          <w:sz w:val="20"/>
          <w:szCs w:val="20"/>
        </w:rPr>
        <w:t>2014</w:t>
      </w:r>
      <w:r w:rsidR="0038746E">
        <w:rPr>
          <w:rFonts w:ascii="Georgia" w:hAnsi="Georgia"/>
          <w:sz w:val="20"/>
          <w:szCs w:val="20"/>
        </w:rPr>
        <w:t>.</w:t>
      </w:r>
      <w:r w:rsidRPr="005432A3">
        <w:rPr>
          <w:rFonts w:ascii="Georgia" w:hAnsi="Georgia"/>
          <w:sz w:val="20"/>
          <w:szCs w:val="20"/>
        </w:rPr>
        <w:t xml:space="preserve"> </w:t>
      </w:r>
      <w:r w:rsidR="003524DC">
        <w:rPr>
          <w:rFonts w:ascii="Georgia" w:hAnsi="Georgia"/>
          <w:b/>
          <w:bCs/>
          <w:sz w:val="20"/>
          <w:szCs w:val="20"/>
        </w:rPr>
        <w:t>5</w:t>
      </w:r>
      <w:r w:rsidRPr="005432A3">
        <w:rPr>
          <w:rFonts w:ascii="Georgia" w:hAnsi="Georgia"/>
          <w:b/>
          <w:bCs/>
          <w:sz w:val="20"/>
          <w:szCs w:val="20"/>
        </w:rPr>
        <w:t>.</w:t>
      </w:r>
      <w:r w:rsidRPr="005432A3">
        <w:rPr>
          <w:rFonts w:ascii="Georgia" w:hAnsi="Georgia"/>
          <w:sz w:val="20"/>
          <w:szCs w:val="20"/>
        </w:rPr>
        <w:t xml:space="preserve"> Sinemet CR [package insert]. Whitehouse Station, NJ: Merck Sharp &amp; Dohme Co</w:t>
      </w:r>
      <w:r w:rsidR="005B4DD6">
        <w:rPr>
          <w:rFonts w:ascii="Georgia" w:hAnsi="Georgia"/>
          <w:sz w:val="20"/>
          <w:szCs w:val="20"/>
        </w:rPr>
        <w:t>r</w:t>
      </w:r>
      <w:r w:rsidRPr="005432A3">
        <w:rPr>
          <w:rFonts w:ascii="Georgia" w:hAnsi="Georgia"/>
          <w:sz w:val="20"/>
          <w:szCs w:val="20"/>
        </w:rPr>
        <w:t>p., a subsidiary of Merck &amp; Co., Inc</w:t>
      </w:r>
      <w:r w:rsidR="00AE0A34">
        <w:rPr>
          <w:rFonts w:ascii="Georgia" w:hAnsi="Georgia"/>
          <w:sz w:val="20"/>
          <w:szCs w:val="20"/>
        </w:rPr>
        <w:t>.</w:t>
      </w:r>
      <w:r w:rsidR="005B4DD6">
        <w:rPr>
          <w:rFonts w:ascii="Georgia" w:hAnsi="Georgia"/>
          <w:sz w:val="20"/>
          <w:szCs w:val="20"/>
        </w:rPr>
        <w:t>;</w:t>
      </w:r>
      <w:r w:rsidRPr="005432A3">
        <w:rPr>
          <w:rFonts w:ascii="Georgia" w:hAnsi="Georgia"/>
          <w:sz w:val="20"/>
          <w:szCs w:val="20"/>
        </w:rPr>
        <w:t xml:space="preserve"> </w:t>
      </w:r>
      <w:r w:rsidR="00D31146">
        <w:rPr>
          <w:rFonts w:ascii="Georgia" w:hAnsi="Georgia"/>
          <w:sz w:val="20"/>
          <w:szCs w:val="20"/>
        </w:rPr>
        <w:t>2018</w:t>
      </w:r>
      <w:r w:rsidR="0038746E">
        <w:rPr>
          <w:rFonts w:ascii="Georgia" w:hAnsi="Georgia"/>
          <w:sz w:val="20"/>
          <w:szCs w:val="20"/>
        </w:rPr>
        <w:t>.</w:t>
      </w:r>
      <w:r w:rsidR="00375C68">
        <w:rPr>
          <w:rFonts w:ascii="Georgia" w:hAnsi="Georgia"/>
          <w:sz w:val="20"/>
          <w:szCs w:val="20"/>
        </w:rPr>
        <w:t xml:space="preserve"> </w:t>
      </w:r>
      <w:r w:rsidR="003524DC">
        <w:rPr>
          <w:rFonts w:ascii="Georgia" w:hAnsi="Georgia"/>
          <w:b/>
          <w:bCs/>
          <w:sz w:val="20"/>
          <w:szCs w:val="20"/>
        </w:rPr>
        <w:t>6</w:t>
      </w:r>
      <w:r w:rsidR="00375C68" w:rsidRPr="005432A3">
        <w:rPr>
          <w:rFonts w:ascii="Georgia" w:hAnsi="Georgia"/>
          <w:b/>
          <w:bCs/>
          <w:sz w:val="20"/>
          <w:szCs w:val="20"/>
        </w:rPr>
        <w:t>.</w:t>
      </w:r>
      <w:r w:rsidR="00375C68" w:rsidRPr="005432A3">
        <w:rPr>
          <w:rFonts w:ascii="Georgia" w:hAnsi="Georgia"/>
          <w:sz w:val="20"/>
          <w:szCs w:val="20"/>
        </w:rPr>
        <w:t xml:space="preserve"> </w:t>
      </w:r>
      <w:r w:rsidR="00375C68">
        <w:rPr>
          <w:rFonts w:ascii="Georgia" w:hAnsi="Georgia"/>
          <w:sz w:val="20"/>
          <w:szCs w:val="20"/>
        </w:rPr>
        <w:t>Stalevo</w:t>
      </w:r>
      <w:r w:rsidR="00375C68" w:rsidRPr="005432A3">
        <w:rPr>
          <w:rFonts w:ascii="Georgia" w:hAnsi="Georgia"/>
          <w:sz w:val="20"/>
          <w:szCs w:val="20"/>
        </w:rPr>
        <w:t xml:space="preserve"> [package insert]. </w:t>
      </w:r>
      <w:r w:rsidR="00375C68">
        <w:rPr>
          <w:rFonts w:ascii="Georgia" w:hAnsi="Georgia"/>
          <w:sz w:val="20"/>
          <w:szCs w:val="20"/>
        </w:rPr>
        <w:t>East Hanover</w:t>
      </w:r>
      <w:r w:rsidR="00375C68" w:rsidRPr="005432A3">
        <w:rPr>
          <w:rFonts w:ascii="Georgia" w:hAnsi="Georgia"/>
          <w:sz w:val="20"/>
          <w:szCs w:val="20"/>
        </w:rPr>
        <w:t xml:space="preserve">, NJ: </w:t>
      </w:r>
      <w:r w:rsidR="00375C68">
        <w:rPr>
          <w:rFonts w:ascii="Georgia" w:hAnsi="Georgia"/>
          <w:sz w:val="20"/>
          <w:szCs w:val="20"/>
        </w:rPr>
        <w:t>Novartis Pharmaceuticals Corp</w:t>
      </w:r>
      <w:r w:rsidR="00AE0A34">
        <w:rPr>
          <w:rFonts w:ascii="Georgia" w:hAnsi="Georgia"/>
          <w:sz w:val="20"/>
          <w:szCs w:val="20"/>
        </w:rPr>
        <w:t>oration</w:t>
      </w:r>
      <w:r w:rsidR="005B4DD6">
        <w:rPr>
          <w:rFonts w:ascii="Georgia" w:hAnsi="Georgia"/>
          <w:sz w:val="20"/>
          <w:szCs w:val="20"/>
        </w:rPr>
        <w:t>;</w:t>
      </w:r>
      <w:r w:rsidR="00375C68" w:rsidRPr="005432A3">
        <w:rPr>
          <w:rFonts w:ascii="Georgia" w:hAnsi="Georgia"/>
          <w:sz w:val="20"/>
          <w:szCs w:val="20"/>
        </w:rPr>
        <w:t xml:space="preserve"> </w:t>
      </w:r>
      <w:r w:rsidR="00375C68">
        <w:rPr>
          <w:rFonts w:ascii="Georgia" w:hAnsi="Georgia"/>
          <w:sz w:val="20"/>
          <w:szCs w:val="20"/>
        </w:rPr>
        <w:t>20</w:t>
      </w:r>
      <w:r w:rsidR="005B4DD6">
        <w:rPr>
          <w:rFonts w:ascii="Georgia" w:hAnsi="Georgia"/>
          <w:sz w:val="20"/>
          <w:szCs w:val="20"/>
        </w:rPr>
        <w:t>19</w:t>
      </w:r>
      <w:r w:rsidR="0038746E">
        <w:rPr>
          <w:rFonts w:ascii="Georgia" w:hAnsi="Georgia"/>
          <w:sz w:val="20"/>
          <w:szCs w:val="20"/>
        </w:rPr>
        <w:t>.</w:t>
      </w:r>
      <w:r w:rsidR="00375C68" w:rsidRPr="005432A3">
        <w:rPr>
          <w:rFonts w:ascii="Georgia" w:hAnsi="Georgia"/>
          <w:sz w:val="20"/>
          <w:szCs w:val="20"/>
        </w:rPr>
        <w:t xml:space="preserve"> </w:t>
      </w:r>
      <w:r w:rsidR="003524DC">
        <w:rPr>
          <w:rFonts w:ascii="Georgia" w:hAnsi="Georgia"/>
          <w:b/>
          <w:bCs/>
          <w:sz w:val="20"/>
          <w:szCs w:val="20"/>
        </w:rPr>
        <w:t>7</w:t>
      </w:r>
      <w:r w:rsidR="001F198B" w:rsidRPr="005432A3">
        <w:rPr>
          <w:rFonts w:ascii="Georgia" w:hAnsi="Georgia"/>
          <w:b/>
          <w:bCs/>
          <w:sz w:val="20"/>
          <w:szCs w:val="20"/>
        </w:rPr>
        <w:t>.</w:t>
      </w:r>
      <w:r w:rsidR="001F198B" w:rsidRPr="005432A3">
        <w:rPr>
          <w:rFonts w:ascii="Georgia" w:hAnsi="Georgia"/>
          <w:sz w:val="20"/>
          <w:szCs w:val="20"/>
        </w:rPr>
        <w:t xml:space="preserve"> Hsu A, Yao H-M, Gupta S, Modi NB. Comparison of the pharmacokinetics of an oral extended-release capsule formulation of carbidopa-levodopa (IPX066) with immediate-release carbidopa-levodopa (Sinemet</w:t>
      </w:r>
      <w:r w:rsidR="001F198B" w:rsidRPr="0006113D">
        <w:rPr>
          <w:rFonts w:ascii="Georgia" w:hAnsi="Georgia"/>
          <w:sz w:val="20"/>
          <w:szCs w:val="20"/>
          <w:vertAlign w:val="superscript"/>
        </w:rPr>
        <w:t>®</w:t>
      </w:r>
      <w:r w:rsidR="001F198B" w:rsidRPr="005432A3">
        <w:rPr>
          <w:rFonts w:ascii="Georgia" w:hAnsi="Georgia"/>
          <w:sz w:val="20"/>
          <w:szCs w:val="20"/>
        </w:rPr>
        <w:t>), sustained-release carbidopa-levodopa (Sinemet</w:t>
      </w:r>
      <w:r w:rsidR="001F198B" w:rsidRPr="0006113D">
        <w:rPr>
          <w:rFonts w:ascii="Georgia" w:hAnsi="Georgia"/>
          <w:sz w:val="20"/>
          <w:szCs w:val="20"/>
          <w:vertAlign w:val="superscript"/>
        </w:rPr>
        <w:t>®</w:t>
      </w:r>
      <w:r w:rsidR="001F198B" w:rsidRPr="005432A3">
        <w:rPr>
          <w:rFonts w:ascii="Georgia" w:hAnsi="Georgia"/>
          <w:sz w:val="20"/>
          <w:szCs w:val="20"/>
        </w:rPr>
        <w:t xml:space="preserve"> CR), and carbidopa-levodopa-entacapone (Stalevo</w:t>
      </w:r>
      <w:r w:rsidR="001F198B" w:rsidRPr="0006113D">
        <w:rPr>
          <w:rFonts w:ascii="Georgia" w:hAnsi="Georgia"/>
          <w:sz w:val="20"/>
          <w:szCs w:val="20"/>
          <w:vertAlign w:val="superscript"/>
        </w:rPr>
        <w:t>®</w:t>
      </w:r>
      <w:r w:rsidR="001F198B" w:rsidRPr="005432A3">
        <w:rPr>
          <w:rFonts w:ascii="Georgia" w:hAnsi="Georgia"/>
          <w:sz w:val="20"/>
          <w:szCs w:val="20"/>
        </w:rPr>
        <w:t xml:space="preserve">). </w:t>
      </w:r>
      <w:r w:rsidR="001F198B" w:rsidRPr="005432A3">
        <w:rPr>
          <w:rFonts w:ascii="Georgia" w:hAnsi="Georgia"/>
          <w:i/>
          <w:iCs/>
          <w:sz w:val="20"/>
          <w:szCs w:val="20"/>
        </w:rPr>
        <w:t xml:space="preserve">J Clin </w:t>
      </w:r>
      <w:proofErr w:type="spellStart"/>
      <w:r w:rsidR="001F198B" w:rsidRPr="005432A3">
        <w:rPr>
          <w:rFonts w:ascii="Georgia" w:hAnsi="Georgia"/>
          <w:i/>
          <w:iCs/>
          <w:sz w:val="20"/>
          <w:szCs w:val="20"/>
        </w:rPr>
        <w:t>Pharmacol</w:t>
      </w:r>
      <w:proofErr w:type="spellEnd"/>
      <w:r w:rsidR="001F198B" w:rsidRPr="005432A3">
        <w:rPr>
          <w:rFonts w:ascii="Georgia" w:hAnsi="Georgia"/>
          <w:sz w:val="20"/>
          <w:szCs w:val="20"/>
        </w:rPr>
        <w:t>. 2015;55</w:t>
      </w:r>
      <w:r w:rsidR="00485579">
        <w:rPr>
          <w:rFonts w:ascii="Georgia" w:hAnsi="Georgia"/>
          <w:sz w:val="20"/>
          <w:szCs w:val="20"/>
        </w:rPr>
        <w:t>(5)</w:t>
      </w:r>
      <w:r w:rsidR="001F198B" w:rsidRPr="005432A3">
        <w:rPr>
          <w:rFonts w:ascii="Georgia" w:hAnsi="Georgia"/>
          <w:sz w:val="20"/>
          <w:szCs w:val="20"/>
        </w:rPr>
        <w:t>:995-1003</w:t>
      </w:r>
      <w:r w:rsidR="0038746E">
        <w:rPr>
          <w:rFonts w:ascii="Georgia" w:hAnsi="Georgia"/>
          <w:sz w:val="20"/>
          <w:szCs w:val="20"/>
        </w:rPr>
        <w:t>.</w:t>
      </w:r>
      <w:r w:rsidR="001F198B" w:rsidRPr="005432A3">
        <w:rPr>
          <w:rFonts w:ascii="Georgia" w:hAnsi="Georgia"/>
          <w:sz w:val="20"/>
          <w:szCs w:val="20"/>
        </w:rPr>
        <w:t xml:space="preserve"> </w:t>
      </w:r>
      <w:r w:rsidR="003524DC">
        <w:rPr>
          <w:rFonts w:ascii="Georgia" w:hAnsi="Georgia"/>
          <w:b/>
          <w:bCs/>
          <w:sz w:val="20"/>
          <w:szCs w:val="20"/>
        </w:rPr>
        <w:t>8</w:t>
      </w:r>
      <w:r w:rsidRPr="005432A3">
        <w:rPr>
          <w:rFonts w:ascii="Georgia" w:hAnsi="Georgia"/>
          <w:b/>
          <w:bCs/>
          <w:sz w:val="20"/>
          <w:szCs w:val="20"/>
        </w:rPr>
        <w:t>.</w:t>
      </w:r>
      <w:r w:rsidRPr="005432A3">
        <w:rPr>
          <w:rFonts w:ascii="Georgia" w:hAnsi="Georgia"/>
          <w:sz w:val="20"/>
          <w:szCs w:val="20"/>
        </w:rPr>
        <w:t xml:space="preserve"> Albin RL, Leventhal DK. The missing, the short, and the long: </w:t>
      </w:r>
      <w:r w:rsidR="0038746E">
        <w:rPr>
          <w:rFonts w:ascii="Georgia" w:hAnsi="Georgia"/>
          <w:sz w:val="20"/>
          <w:szCs w:val="20"/>
        </w:rPr>
        <w:t>l</w:t>
      </w:r>
      <w:r w:rsidRPr="005432A3">
        <w:rPr>
          <w:rFonts w:ascii="Georgia" w:hAnsi="Georgia"/>
          <w:sz w:val="20"/>
          <w:szCs w:val="20"/>
        </w:rPr>
        <w:t xml:space="preserve">evodopa responses and dopamine actions. </w:t>
      </w:r>
      <w:r w:rsidRPr="005432A3">
        <w:rPr>
          <w:rFonts w:ascii="Georgia" w:hAnsi="Georgia"/>
          <w:i/>
          <w:iCs/>
          <w:sz w:val="20"/>
          <w:szCs w:val="20"/>
        </w:rPr>
        <w:t>Ann Neurol</w:t>
      </w:r>
      <w:r w:rsidRPr="005432A3">
        <w:rPr>
          <w:rFonts w:ascii="Georgia" w:hAnsi="Georgia"/>
          <w:sz w:val="20"/>
          <w:szCs w:val="20"/>
        </w:rPr>
        <w:t xml:space="preserve">. </w:t>
      </w:r>
      <w:r w:rsidR="0038746E" w:rsidRPr="0038746E">
        <w:rPr>
          <w:rFonts w:ascii="Georgia" w:hAnsi="Georgia"/>
          <w:sz w:val="20"/>
          <w:szCs w:val="20"/>
        </w:rPr>
        <w:t>2017;82(1):4-19.</w:t>
      </w:r>
      <w:r w:rsidR="0038746E">
        <w:rPr>
          <w:rFonts w:ascii="Georgia" w:hAnsi="Georgia"/>
          <w:sz w:val="20"/>
          <w:szCs w:val="20"/>
        </w:rPr>
        <w:t xml:space="preserve"> </w:t>
      </w:r>
      <w:r w:rsidR="003524DC">
        <w:rPr>
          <w:rFonts w:ascii="Georgia" w:hAnsi="Georgia"/>
          <w:b/>
          <w:bCs/>
          <w:sz w:val="20"/>
          <w:szCs w:val="20"/>
        </w:rPr>
        <w:t>9</w:t>
      </w:r>
      <w:r w:rsidR="001F198B" w:rsidRPr="005432A3">
        <w:rPr>
          <w:rFonts w:ascii="Georgia" w:hAnsi="Georgia"/>
          <w:b/>
          <w:bCs/>
          <w:sz w:val="20"/>
          <w:szCs w:val="20"/>
        </w:rPr>
        <w:t>.</w:t>
      </w:r>
      <w:r w:rsidR="001F198B" w:rsidRPr="005432A3">
        <w:rPr>
          <w:rFonts w:ascii="Georgia" w:hAnsi="Georgia"/>
          <w:sz w:val="20"/>
          <w:szCs w:val="20"/>
        </w:rPr>
        <w:t xml:space="preserve"> </w:t>
      </w:r>
      <w:proofErr w:type="spellStart"/>
      <w:r w:rsidR="0038746E" w:rsidRPr="0038746E">
        <w:rPr>
          <w:rFonts w:ascii="Georgia" w:hAnsi="Georgia"/>
          <w:sz w:val="20"/>
          <w:szCs w:val="20"/>
        </w:rPr>
        <w:t>Olanow</w:t>
      </w:r>
      <w:proofErr w:type="spellEnd"/>
      <w:r w:rsidR="0038746E" w:rsidRPr="0038746E">
        <w:rPr>
          <w:rFonts w:ascii="Georgia" w:hAnsi="Georgia"/>
          <w:sz w:val="20"/>
          <w:szCs w:val="20"/>
        </w:rPr>
        <w:t xml:space="preserve"> CW, </w:t>
      </w:r>
      <w:proofErr w:type="spellStart"/>
      <w:r w:rsidR="0038746E" w:rsidRPr="0038746E">
        <w:rPr>
          <w:rFonts w:ascii="Georgia" w:hAnsi="Georgia"/>
          <w:sz w:val="20"/>
          <w:szCs w:val="20"/>
        </w:rPr>
        <w:t>Obeso</w:t>
      </w:r>
      <w:proofErr w:type="spellEnd"/>
      <w:r w:rsidR="0038746E" w:rsidRPr="0038746E">
        <w:rPr>
          <w:rFonts w:ascii="Georgia" w:hAnsi="Georgia"/>
          <w:sz w:val="20"/>
          <w:szCs w:val="20"/>
        </w:rPr>
        <w:t xml:space="preserve"> JA, </w:t>
      </w:r>
      <w:proofErr w:type="spellStart"/>
      <w:r w:rsidR="0038746E" w:rsidRPr="0038746E">
        <w:rPr>
          <w:rFonts w:ascii="Georgia" w:hAnsi="Georgia"/>
          <w:sz w:val="20"/>
          <w:szCs w:val="20"/>
        </w:rPr>
        <w:t>Stocchi</w:t>
      </w:r>
      <w:proofErr w:type="spellEnd"/>
      <w:r w:rsidR="0038746E" w:rsidRPr="0038746E">
        <w:rPr>
          <w:rFonts w:ascii="Georgia" w:hAnsi="Georgia"/>
          <w:sz w:val="20"/>
          <w:szCs w:val="20"/>
        </w:rPr>
        <w:t xml:space="preserve"> F. Drug insight: continuous dopaminergic stimulation in the treatment of Parkinson's disease. </w:t>
      </w:r>
      <w:r w:rsidR="0038746E" w:rsidRPr="0038746E">
        <w:rPr>
          <w:rFonts w:ascii="Georgia" w:hAnsi="Georgia"/>
          <w:i/>
          <w:iCs/>
          <w:sz w:val="20"/>
          <w:szCs w:val="20"/>
        </w:rPr>
        <w:t xml:space="preserve">Nat Clin </w:t>
      </w:r>
      <w:proofErr w:type="spellStart"/>
      <w:r w:rsidR="0038746E" w:rsidRPr="0038746E">
        <w:rPr>
          <w:rFonts w:ascii="Georgia" w:hAnsi="Georgia"/>
          <w:i/>
          <w:iCs/>
          <w:sz w:val="20"/>
          <w:szCs w:val="20"/>
        </w:rPr>
        <w:t>Pract</w:t>
      </w:r>
      <w:proofErr w:type="spellEnd"/>
      <w:r w:rsidR="0038746E" w:rsidRPr="0038746E">
        <w:rPr>
          <w:rFonts w:ascii="Georgia" w:hAnsi="Georgia"/>
          <w:i/>
          <w:iCs/>
          <w:sz w:val="20"/>
          <w:szCs w:val="20"/>
        </w:rPr>
        <w:t xml:space="preserve"> Neurol</w:t>
      </w:r>
      <w:r w:rsidR="0038746E" w:rsidRPr="0038746E">
        <w:rPr>
          <w:rFonts w:ascii="Georgia" w:hAnsi="Georgia"/>
          <w:sz w:val="20"/>
          <w:szCs w:val="20"/>
        </w:rPr>
        <w:t>. 2006;2(7):382-392.</w:t>
      </w:r>
      <w:r w:rsidR="001F198B" w:rsidRPr="001F198B">
        <w:rPr>
          <w:rFonts w:ascii="Georgia" w:hAnsi="Georgia"/>
          <w:sz w:val="20"/>
          <w:szCs w:val="20"/>
        </w:rPr>
        <w:t xml:space="preserve"> </w:t>
      </w:r>
      <w:r w:rsidR="003524DC">
        <w:rPr>
          <w:rFonts w:ascii="Georgia" w:hAnsi="Georgia"/>
          <w:b/>
          <w:bCs/>
          <w:sz w:val="20"/>
          <w:szCs w:val="20"/>
        </w:rPr>
        <w:t>10</w:t>
      </w:r>
      <w:r w:rsidRPr="005432A3">
        <w:rPr>
          <w:rFonts w:ascii="Georgia" w:hAnsi="Georgia"/>
          <w:b/>
          <w:bCs/>
          <w:sz w:val="20"/>
          <w:szCs w:val="20"/>
        </w:rPr>
        <w:t>.</w:t>
      </w:r>
      <w:r w:rsidRPr="005432A3">
        <w:rPr>
          <w:rFonts w:ascii="Georgia" w:hAnsi="Georgia"/>
          <w:sz w:val="20"/>
          <w:szCs w:val="20"/>
        </w:rPr>
        <w:t xml:space="preserve"> </w:t>
      </w:r>
      <w:proofErr w:type="spellStart"/>
      <w:r w:rsidR="00741784">
        <w:rPr>
          <w:rFonts w:ascii="Georgia" w:hAnsi="Georgia"/>
          <w:sz w:val="20"/>
          <w:szCs w:val="20"/>
        </w:rPr>
        <w:t>Pahwa</w:t>
      </w:r>
      <w:proofErr w:type="spellEnd"/>
      <w:r w:rsidR="00741784">
        <w:rPr>
          <w:rFonts w:ascii="Georgia" w:hAnsi="Georgia"/>
          <w:sz w:val="20"/>
          <w:szCs w:val="20"/>
        </w:rPr>
        <w:t xml:space="preserve"> </w:t>
      </w:r>
      <w:r w:rsidR="00375C68" w:rsidRPr="00375C68">
        <w:rPr>
          <w:rFonts w:ascii="Georgia" w:hAnsi="Georgia"/>
          <w:sz w:val="20"/>
          <w:szCs w:val="20"/>
        </w:rPr>
        <w:t xml:space="preserve">R, </w:t>
      </w:r>
      <w:r w:rsidR="00741784">
        <w:rPr>
          <w:rFonts w:ascii="Georgia" w:hAnsi="Georgia"/>
          <w:sz w:val="20"/>
          <w:szCs w:val="20"/>
        </w:rPr>
        <w:t>Lyons KE</w:t>
      </w:r>
      <w:r w:rsidR="00375C68" w:rsidRPr="00375C68">
        <w:rPr>
          <w:rFonts w:ascii="Georgia" w:hAnsi="Georgia"/>
          <w:sz w:val="20"/>
          <w:szCs w:val="20"/>
        </w:rPr>
        <w:t xml:space="preserve">, </w:t>
      </w:r>
      <w:r w:rsidR="00741784">
        <w:rPr>
          <w:rFonts w:ascii="Georgia" w:hAnsi="Georgia"/>
          <w:sz w:val="20"/>
          <w:szCs w:val="20"/>
        </w:rPr>
        <w:t>Hauser RA</w:t>
      </w:r>
      <w:r w:rsidR="00375C68" w:rsidRPr="00375C68">
        <w:rPr>
          <w:rFonts w:ascii="Georgia" w:hAnsi="Georgia"/>
          <w:sz w:val="20"/>
          <w:szCs w:val="20"/>
        </w:rPr>
        <w:t xml:space="preserve">, et al; </w:t>
      </w:r>
      <w:r w:rsidR="00741784">
        <w:rPr>
          <w:rFonts w:ascii="Georgia" w:hAnsi="Georgia"/>
          <w:sz w:val="20"/>
          <w:szCs w:val="20"/>
        </w:rPr>
        <w:t>APEX</w:t>
      </w:r>
      <w:r w:rsidR="00375C68" w:rsidRPr="00375C68">
        <w:rPr>
          <w:rFonts w:ascii="Georgia" w:hAnsi="Georgia"/>
          <w:sz w:val="20"/>
          <w:szCs w:val="20"/>
        </w:rPr>
        <w:t xml:space="preserve">-PD </w:t>
      </w:r>
      <w:r w:rsidR="00485579">
        <w:rPr>
          <w:rFonts w:ascii="Georgia" w:hAnsi="Georgia"/>
          <w:sz w:val="20"/>
          <w:szCs w:val="20"/>
        </w:rPr>
        <w:t>I</w:t>
      </w:r>
      <w:r w:rsidR="00375C68" w:rsidRPr="00375C68">
        <w:rPr>
          <w:rFonts w:ascii="Georgia" w:hAnsi="Georgia"/>
          <w:sz w:val="20"/>
          <w:szCs w:val="20"/>
        </w:rPr>
        <w:t xml:space="preserve">nvestigators. </w:t>
      </w:r>
      <w:r w:rsidR="00741784">
        <w:rPr>
          <w:rFonts w:ascii="Georgia" w:hAnsi="Georgia"/>
          <w:sz w:val="20"/>
          <w:szCs w:val="20"/>
        </w:rPr>
        <w:t>Randomized trial of IPX066, carbidopa/levodopa extended release, in early Parkinson’s disease</w:t>
      </w:r>
      <w:r w:rsidR="00375C68" w:rsidRPr="00375C68">
        <w:rPr>
          <w:rFonts w:ascii="Georgia" w:hAnsi="Georgia"/>
          <w:sz w:val="20"/>
          <w:szCs w:val="20"/>
        </w:rPr>
        <w:t xml:space="preserve">. </w:t>
      </w:r>
      <w:r w:rsidR="00741784">
        <w:rPr>
          <w:rFonts w:ascii="Georgia" w:hAnsi="Georgia"/>
          <w:i/>
          <w:iCs/>
          <w:sz w:val="20"/>
          <w:szCs w:val="20"/>
        </w:rPr>
        <w:t>Parkinsonism and Related Disorders</w:t>
      </w:r>
      <w:r w:rsidR="00375C68" w:rsidRPr="00375C68">
        <w:rPr>
          <w:rFonts w:ascii="Georgia" w:hAnsi="Georgia"/>
          <w:sz w:val="20"/>
          <w:szCs w:val="20"/>
        </w:rPr>
        <w:t>. 201</w:t>
      </w:r>
      <w:r w:rsidR="00741784">
        <w:rPr>
          <w:rFonts w:ascii="Georgia" w:hAnsi="Georgia"/>
          <w:sz w:val="20"/>
          <w:szCs w:val="20"/>
        </w:rPr>
        <w:t>4</w:t>
      </w:r>
      <w:r w:rsidR="00375C68" w:rsidRPr="00375C68">
        <w:rPr>
          <w:rFonts w:ascii="Georgia" w:hAnsi="Georgia"/>
          <w:sz w:val="20"/>
          <w:szCs w:val="20"/>
        </w:rPr>
        <w:t>;</w:t>
      </w:r>
      <w:r w:rsidR="00741784">
        <w:rPr>
          <w:rFonts w:ascii="Georgia" w:hAnsi="Georgia"/>
          <w:sz w:val="20"/>
          <w:szCs w:val="20"/>
        </w:rPr>
        <w:t>20</w:t>
      </w:r>
      <w:r w:rsidR="00485579">
        <w:rPr>
          <w:rFonts w:ascii="Georgia" w:hAnsi="Georgia"/>
          <w:sz w:val="20"/>
          <w:szCs w:val="20"/>
        </w:rPr>
        <w:t>(2)</w:t>
      </w:r>
      <w:r w:rsidR="00741784">
        <w:rPr>
          <w:rFonts w:ascii="Georgia" w:hAnsi="Georgia"/>
          <w:sz w:val="20"/>
          <w:szCs w:val="20"/>
        </w:rPr>
        <w:t>:142-148</w:t>
      </w:r>
      <w:r w:rsidR="00375C68" w:rsidRPr="00375C68">
        <w:rPr>
          <w:rFonts w:ascii="Georgia" w:hAnsi="Georgia"/>
          <w:sz w:val="20"/>
          <w:szCs w:val="20"/>
        </w:rPr>
        <w:t>.</w:t>
      </w:r>
      <w:r w:rsidR="00741784" w:rsidRPr="00741784">
        <w:rPr>
          <w:rFonts w:ascii="Georgia" w:hAnsi="Georgia"/>
          <w:b/>
          <w:bCs/>
          <w:sz w:val="20"/>
          <w:szCs w:val="20"/>
        </w:rPr>
        <w:t xml:space="preserve"> </w:t>
      </w:r>
      <w:r w:rsidR="00741784">
        <w:rPr>
          <w:rFonts w:ascii="Georgia" w:hAnsi="Georgia"/>
          <w:b/>
          <w:bCs/>
          <w:sz w:val="20"/>
          <w:szCs w:val="20"/>
        </w:rPr>
        <w:t>1</w:t>
      </w:r>
      <w:r w:rsidR="003524DC">
        <w:rPr>
          <w:rFonts w:ascii="Georgia" w:hAnsi="Georgia"/>
          <w:b/>
          <w:bCs/>
          <w:sz w:val="20"/>
          <w:szCs w:val="20"/>
        </w:rPr>
        <w:t>1</w:t>
      </w:r>
      <w:r w:rsidR="00741784" w:rsidRPr="005432A3">
        <w:rPr>
          <w:rFonts w:ascii="Georgia" w:hAnsi="Georgia"/>
          <w:b/>
          <w:bCs/>
          <w:sz w:val="20"/>
          <w:szCs w:val="20"/>
        </w:rPr>
        <w:t>.</w:t>
      </w:r>
      <w:r w:rsidR="00741784">
        <w:rPr>
          <w:rFonts w:ascii="Georgia" w:hAnsi="Georgia"/>
          <w:b/>
          <w:bCs/>
          <w:sz w:val="20"/>
          <w:szCs w:val="20"/>
        </w:rPr>
        <w:t xml:space="preserve"> </w:t>
      </w:r>
      <w:r w:rsidR="00741784">
        <w:rPr>
          <w:rFonts w:ascii="Georgia" w:hAnsi="Georgia"/>
          <w:sz w:val="20"/>
          <w:szCs w:val="20"/>
        </w:rPr>
        <w:t xml:space="preserve">Waters CH, </w:t>
      </w:r>
      <w:proofErr w:type="spellStart"/>
      <w:r w:rsidR="00741784">
        <w:rPr>
          <w:rFonts w:ascii="Georgia" w:hAnsi="Georgia"/>
          <w:sz w:val="20"/>
          <w:szCs w:val="20"/>
        </w:rPr>
        <w:t>Nausieda</w:t>
      </w:r>
      <w:proofErr w:type="spellEnd"/>
      <w:r w:rsidR="00741784">
        <w:rPr>
          <w:rFonts w:ascii="Georgia" w:hAnsi="Georgia"/>
          <w:sz w:val="20"/>
          <w:szCs w:val="20"/>
        </w:rPr>
        <w:t xml:space="preserve"> P, Lyudmila D, et al. </w:t>
      </w:r>
      <w:r w:rsidR="004C57BA">
        <w:rPr>
          <w:rFonts w:ascii="Georgia" w:hAnsi="Georgia"/>
          <w:sz w:val="20"/>
          <w:szCs w:val="20"/>
        </w:rPr>
        <w:t>Long-</w:t>
      </w:r>
      <w:r w:rsidR="00485579">
        <w:rPr>
          <w:rFonts w:ascii="Georgia" w:hAnsi="Georgia"/>
          <w:sz w:val="20"/>
          <w:szCs w:val="20"/>
        </w:rPr>
        <w:t>t</w:t>
      </w:r>
      <w:r w:rsidR="004C57BA">
        <w:rPr>
          <w:rFonts w:ascii="Georgia" w:hAnsi="Georgia"/>
          <w:sz w:val="20"/>
          <w:szCs w:val="20"/>
        </w:rPr>
        <w:t xml:space="preserve">erm </w:t>
      </w:r>
      <w:r w:rsidR="00485579">
        <w:rPr>
          <w:rFonts w:ascii="Georgia" w:hAnsi="Georgia"/>
          <w:sz w:val="20"/>
          <w:szCs w:val="20"/>
        </w:rPr>
        <w:t>t</w:t>
      </w:r>
      <w:r w:rsidR="004C57BA">
        <w:rPr>
          <w:rFonts w:ascii="Georgia" w:hAnsi="Georgia"/>
          <w:sz w:val="20"/>
          <w:szCs w:val="20"/>
        </w:rPr>
        <w:t xml:space="preserve">reatment with </w:t>
      </w:r>
      <w:r w:rsidR="00485579">
        <w:rPr>
          <w:rFonts w:ascii="Georgia" w:hAnsi="Georgia"/>
          <w:sz w:val="20"/>
          <w:szCs w:val="20"/>
        </w:rPr>
        <w:t>e</w:t>
      </w:r>
      <w:r w:rsidR="004C57BA">
        <w:rPr>
          <w:rFonts w:ascii="Georgia" w:hAnsi="Georgia"/>
          <w:sz w:val="20"/>
          <w:szCs w:val="20"/>
        </w:rPr>
        <w:t>xtended-</w:t>
      </w:r>
      <w:r w:rsidR="00485579">
        <w:rPr>
          <w:rFonts w:ascii="Georgia" w:hAnsi="Georgia"/>
          <w:sz w:val="20"/>
          <w:szCs w:val="20"/>
        </w:rPr>
        <w:lastRenderedPageBreak/>
        <w:t>r</w:t>
      </w:r>
      <w:r w:rsidR="004C57BA">
        <w:rPr>
          <w:rFonts w:ascii="Georgia" w:hAnsi="Georgia"/>
          <w:sz w:val="20"/>
          <w:szCs w:val="20"/>
        </w:rPr>
        <w:t xml:space="preserve">elease </w:t>
      </w:r>
      <w:r w:rsidR="00485579">
        <w:rPr>
          <w:rFonts w:ascii="Georgia" w:hAnsi="Georgia"/>
          <w:sz w:val="20"/>
          <w:szCs w:val="20"/>
        </w:rPr>
        <w:t>c</w:t>
      </w:r>
      <w:r w:rsidR="004C57BA">
        <w:rPr>
          <w:rFonts w:ascii="Georgia" w:hAnsi="Georgia"/>
          <w:sz w:val="20"/>
          <w:szCs w:val="20"/>
        </w:rPr>
        <w:t>arbidopa–</w:t>
      </w:r>
      <w:r w:rsidR="00485579">
        <w:rPr>
          <w:rFonts w:ascii="Georgia" w:hAnsi="Georgia"/>
          <w:sz w:val="20"/>
          <w:szCs w:val="20"/>
        </w:rPr>
        <w:t>l</w:t>
      </w:r>
      <w:r w:rsidR="004C57BA">
        <w:rPr>
          <w:rFonts w:ascii="Georgia" w:hAnsi="Georgia"/>
          <w:sz w:val="20"/>
          <w:szCs w:val="20"/>
        </w:rPr>
        <w:t xml:space="preserve">evodopa (IPX066) in </w:t>
      </w:r>
      <w:r w:rsidR="00485579">
        <w:rPr>
          <w:rFonts w:ascii="Georgia" w:hAnsi="Georgia"/>
          <w:sz w:val="20"/>
          <w:szCs w:val="20"/>
        </w:rPr>
        <w:t>e</w:t>
      </w:r>
      <w:r w:rsidR="004C57BA">
        <w:rPr>
          <w:rFonts w:ascii="Georgia" w:hAnsi="Georgia"/>
          <w:sz w:val="20"/>
          <w:szCs w:val="20"/>
        </w:rPr>
        <w:t xml:space="preserve">arly and </w:t>
      </w:r>
      <w:r w:rsidR="00485579">
        <w:rPr>
          <w:rFonts w:ascii="Georgia" w:hAnsi="Georgia"/>
          <w:sz w:val="20"/>
          <w:szCs w:val="20"/>
        </w:rPr>
        <w:t>a</w:t>
      </w:r>
      <w:r w:rsidR="004C57BA">
        <w:rPr>
          <w:rFonts w:ascii="Georgia" w:hAnsi="Georgia"/>
          <w:sz w:val="20"/>
          <w:szCs w:val="20"/>
        </w:rPr>
        <w:t xml:space="preserve">dvanced </w:t>
      </w:r>
      <w:r w:rsidR="00485579">
        <w:rPr>
          <w:rFonts w:ascii="Georgia" w:hAnsi="Georgia"/>
          <w:sz w:val="20"/>
          <w:szCs w:val="20"/>
        </w:rPr>
        <w:t>P</w:t>
      </w:r>
      <w:r w:rsidR="004C57BA">
        <w:rPr>
          <w:rFonts w:ascii="Georgia" w:hAnsi="Georgia"/>
          <w:sz w:val="20"/>
          <w:szCs w:val="20"/>
        </w:rPr>
        <w:t xml:space="preserve">arkinson’s </w:t>
      </w:r>
      <w:r w:rsidR="00485579">
        <w:rPr>
          <w:rFonts w:ascii="Georgia" w:hAnsi="Georgia"/>
          <w:sz w:val="20"/>
          <w:szCs w:val="20"/>
        </w:rPr>
        <w:t>d</w:t>
      </w:r>
      <w:r w:rsidR="004C57BA">
        <w:rPr>
          <w:rFonts w:ascii="Georgia" w:hAnsi="Georgia"/>
          <w:sz w:val="20"/>
          <w:szCs w:val="20"/>
        </w:rPr>
        <w:t xml:space="preserve">isease: </w:t>
      </w:r>
      <w:r w:rsidR="00485579">
        <w:rPr>
          <w:rFonts w:ascii="Georgia" w:hAnsi="Georgia"/>
          <w:sz w:val="20"/>
          <w:szCs w:val="20"/>
        </w:rPr>
        <w:t>a</w:t>
      </w:r>
      <w:r w:rsidR="004C57BA">
        <w:rPr>
          <w:rFonts w:ascii="Georgia" w:hAnsi="Georgia"/>
          <w:sz w:val="20"/>
          <w:szCs w:val="20"/>
        </w:rPr>
        <w:t xml:space="preserve"> 9-</w:t>
      </w:r>
      <w:r w:rsidR="00485579">
        <w:rPr>
          <w:rFonts w:ascii="Georgia" w:hAnsi="Georgia"/>
          <w:sz w:val="20"/>
          <w:szCs w:val="20"/>
        </w:rPr>
        <w:t>m</w:t>
      </w:r>
      <w:r w:rsidR="004C57BA">
        <w:rPr>
          <w:rFonts w:ascii="Georgia" w:hAnsi="Georgia"/>
          <w:sz w:val="20"/>
          <w:szCs w:val="20"/>
        </w:rPr>
        <w:t xml:space="preserve">onth </w:t>
      </w:r>
      <w:r w:rsidR="00485579">
        <w:rPr>
          <w:rFonts w:ascii="Georgia" w:hAnsi="Georgia"/>
          <w:sz w:val="20"/>
          <w:szCs w:val="20"/>
        </w:rPr>
        <w:t>o</w:t>
      </w:r>
      <w:r w:rsidR="004C57BA">
        <w:rPr>
          <w:rFonts w:ascii="Georgia" w:hAnsi="Georgia"/>
          <w:sz w:val="20"/>
          <w:szCs w:val="20"/>
        </w:rPr>
        <w:t>pen-</w:t>
      </w:r>
      <w:r w:rsidR="00485579">
        <w:rPr>
          <w:rFonts w:ascii="Georgia" w:hAnsi="Georgia"/>
          <w:sz w:val="20"/>
          <w:szCs w:val="20"/>
        </w:rPr>
        <w:t>l</w:t>
      </w:r>
      <w:r w:rsidR="004C57BA">
        <w:rPr>
          <w:rFonts w:ascii="Georgia" w:hAnsi="Georgia"/>
          <w:sz w:val="20"/>
          <w:szCs w:val="20"/>
        </w:rPr>
        <w:t xml:space="preserve">abel </w:t>
      </w:r>
      <w:r w:rsidR="00485579">
        <w:rPr>
          <w:rFonts w:ascii="Georgia" w:hAnsi="Georgia"/>
          <w:sz w:val="20"/>
          <w:szCs w:val="20"/>
        </w:rPr>
        <w:t>e</w:t>
      </w:r>
      <w:r w:rsidR="004C57BA">
        <w:rPr>
          <w:rFonts w:ascii="Georgia" w:hAnsi="Georgia"/>
          <w:sz w:val="20"/>
          <w:szCs w:val="20"/>
        </w:rPr>
        <w:t xml:space="preserve">xtension </w:t>
      </w:r>
      <w:r w:rsidR="00485579">
        <w:rPr>
          <w:rFonts w:ascii="Georgia" w:hAnsi="Georgia"/>
          <w:sz w:val="20"/>
          <w:szCs w:val="20"/>
        </w:rPr>
        <w:t>t</w:t>
      </w:r>
      <w:r w:rsidR="004C57BA">
        <w:rPr>
          <w:rFonts w:ascii="Georgia" w:hAnsi="Georgia"/>
          <w:sz w:val="20"/>
          <w:szCs w:val="20"/>
        </w:rPr>
        <w:t xml:space="preserve">rial. </w:t>
      </w:r>
      <w:r w:rsidR="00485579">
        <w:rPr>
          <w:rFonts w:ascii="Georgia" w:hAnsi="Georgia"/>
          <w:i/>
          <w:iCs/>
          <w:sz w:val="20"/>
          <w:szCs w:val="20"/>
        </w:rPr>
        <w:t>CNS Drugs</w:t>
      </w:r>
      <w:r w:rsidR="004C57BA" w:rsidRPr="004C57BA">
        <w:rPr>
          <w:rFonts w:ascii="Georgia" w:hAnsi="Georgia"/>
          <w:sz w:val="20"/>
          <w:szCs w:val="20"/>
        </w:rPr>
        <w:t xml:space="preserve">. </w:t>
      </w:r>
      <w:r w:rsidR="004C57BA">
        <w:rPr>
          <w:rFonts w:ascii="Georgia" w:hAnsi="Georgia"/>
          <w:sz w:val="20"/>
          <w:szCs w:val="20"/>
        </w:rPr>
        <w:t>2015;29</w:t>
      </w:r>
      <w:r w:rsidR="00485579">
        <w:rPr>
          <w:rFonts w:ascii="Georgia" w:hAnsi="Georgia"/>
          <w:sz w:val="20"/>
          <w:szCs w:val="20"/>
        </w:rPr>
        <w:t>(4</w:t>
      </w:r>
      <w:r w:rsidR="004C57BA">
        <w:rPr>
          <w:rFonts w:ascii="Georgia" w:hAnsi="Georgia"/>
          <w:sz w:val="20"/>
          <w:szCs w:val="20"/>
        </w:rPr>
        <w:t xml:space="preserve">):341-350. </w:t>
      </w:r>
      <w:r w:rsidR="0004243B" w:rsidRPr="00375D0F">
        <w:rPr>
          <w:rFonts w:ascii="Georgia" w:hAnsi="Georgia"/>
          <w:b/>
          <w:bCs/>
          <w:sz w:val="20"/>
          <w:szCs w:val="20"/>
        </w:rPr>
        <w:t>12.</w:t>
      </w:r>
      <w:r w:rsidR="0004243B">
        <w:rPr>
          <w:rFonts w:ascii="Georgia" w:hAnsi="Georgia"/>
          <w:sz w:val="20"/>
          <w:szCs w:val="20"/>
        </w:rPr>
        <w:t xml:space="preserve"> Hauser RA, Hsu A, Kell S, et al; IPX066 ADVANCE-PD Investigators. Extended-release carbidopa-levodopa (IPX066) compared with immediate-release carbidopa-levodopa in patients with Parkinson’s disease </w:t>
      </w:r>
      <w:r w:rsidR="00F612F0">
        <w:rPr>
          <w:rFonts w:ascii="Georgia" w:hAnsi="Georgia"/>
          <w:sz w:val="20"/>
          <w:szCs w:val="20"/>
        </w:rPr>
        <w:t xml:space="preserve">and motor fluctuations: a phase 3 </w:t>
      </w:r>
      <w:proofErr w:type="spellStart"/>
      <w:r w:rsidR="00F612F0">
        <w:rPr>
          <w:rFonts w:ascii="Georgia" w:hAnsi="Georgia"/>
          <w:sz w:val="20"/>
          <w:szCs w:val="20"/>
        </w:rPr>
        <w:t>randomi</w:t>
      </w:r>
      <w:r w:rsidR="0006113D">
        <w:rPr>
          <w:rFonts w:ascii="Georgia" w:hAnsi="Georgia"/>
          <w:sz w:val="20"/>
          <w:szCs w:val="20"/>
        </w:rPr>
        <w:t>s</w:t>
      </w:r>
      <w:r w:rsidR="00F612F0">
        <w:rPr>
          <w:rFonts w:ascii="Georgia" w:hAnsi="Georgia"/>
          <w:sz w:val="20"/>
          <w:szCs w:val="20"/>
        </w:rPr>
        <w:t>ed</w:t>
      </w:r>
      <w:proofErr w:type="spellEnd"/>
      <w:r w:rsidR="00F612F0">
        <w:rPr>
          <w:rFonts w:ascii="Georgia" w:hAnsi="Georgia"/>
          <w:sz w:val="20"/>
          <w:szCs w:val="20"/>
        </w:rPr>
        <w:t xml:space="preserve">, double-blind trial. </w:t>
      </w:r>
      <w:r w:rsidR="00F612F0" w:rsidRPr="00F612F0">
        <w:rPr>
          <w:rFonts w:ascii="Georgia" w:hAnsi="Georgia"/>
          <w:i/>
          <w:iCs/>
          <w:sz w:val="20"/>
          <w:szCs w:val="20"/>
        </w:rPr>
        <w:t>Lancet Neurol</w:t>
      </w:r>
      <w:r w:rsidR="00F612F0">
        <w:rPr>
          <w:rFonts w:ascii="Georgia" w:hAnsi="Georgia"/>
          <w:sz w:val="20"/>
          <w:szCs w:val="20"/>
        </w:rPr>
        <w:t>. 2013;12(4):346-356.</w:t>
      </w:r>
      <w:r w:rsidR="0004243B">
        <w:rPr>
          <w:rFonts w:ascii="Georgia" w:hAnsi="Georgia"/>
          <w:sz w:val="20"/>
          <w:szCs w:val="20"/>
        </w:rPr>
        <w:t xml:space="preserve"> </w:t>
      </w:r>
      <w:r w:rsidR="003524DC" w:rsidRPr="003524DC">
        <w:rPr>
          <w:rFonts w:ascii="Georgia" w:hAnsi="Georgia"/>
          <w:b/>
          <w:bCs/>
          <w:sz w:val="20"/>
          <w:szCs w:val="20"/>
        </w:rPr>
        <w:t>1</w:t>
      </w:r>
      <w:r w:rsidR="0004243B">
        <w:rPr>
          <w:rFonts w:ascii="Georgia" w:hAnsi="Georgia"/>
          <w:b/>
          <w:bCs/>
          <w:sz w:val="20"/>
          <w:szCs w:val="20"/>
        </w:rPr>
        <w:t>3</w:t>
      </w:r>
      <w:r w:rsidR="003524DC" w:rsidRPr="003524DC">
        <w:rPr>
          <w:rFonts w:ascii="Georgia" w:hAnsi="Georgia"/>
          <w:b/>
          <w:bCs/>
          <w:sz w:val="20"/>
          <w:szCs w:val="20"/>
        </w:rPr>
        <w:t>.</w:t>
      </w:r>
      <w:r w:rsidR="003524DC">
        <w:rPr>
          <w:rFonts w:ascii="Georgia" w:hAnsi="Georgia"/>
          <w:sz w:val="20"/>
          <w:szCs w:val="20"/>
        </w:rPr>
        <w:t xml:space="preserve"> Arnold RJG, Layton A, </w:t>
      </w:r>
      <w:proofErr w:type="spellStart"/>
      <w:r w:rsidR="003524DC">
        <w:rPr>
          <w:rFonts w:ascii="Georgia" w:hAnsi="Georgia"/>
          <w:sz w:val="20"/>
          <w:szCs w:val="20"/>
        </w:rPr>
        <w:t>Rustay</w:t>
      </w:r>
      <w:proofErr w:type="spellEnd"/>
      <w:r w:rsidR="003524DC">
        <w:rPr>
          <w:rFonts w:ascii="Georgia" w:hAnsi="Georgia"/>
          <w:sz w:val="20"/>
          <w:szCs w:val="20"/>
        </w:rPr>
        <w:t xml:space="preserve"> NR, </w:t>
      </w:r>
      <w:r w:rsidR="0004243B">
        <w:rPr>
          <w:rFonts w:ascii="Georgia" w:hAnsi="Georgia"/>
          <w:sz w:val="20"/>
          <w:szCs w:val="20"/>
        </w:rPr>
        <w:t>Chen S</w:t>
      </w:r>
      <w:r w:rsidR="003524DC">
        <w:rPr>
          <w:rFonts w:ascii="Georgia" w:hAnsi="Georgia"/>
          <w:sz w:val="20"/>
          <w:szCs w:val="20"/>
        </w:rPr>
        <w:t xml:space="preserve">. Cost-effectiveness of extended-release carbidopa-levodopa for advanced Parkinson’s disease. </w:t>
      </w:r>
      <w:r w:rsidR="003524DC" w:rsidRPr="003524DC">
        <w:rPr>
          <w:rFonts w:ascii="Georgia" w:hAnsi="Georgia"/>
          <w:i/>
          <w:iCs/>
          <w:sz w:val="20"/>
          <w:szCs w:val="20"/>
        </w:rPr>
        <w:t>Am J Pharm Benefits</w:t>
      </w:r>
      <w:r w:rsidR="003524DC">
        <w:rPr>
          <w:rFonts w:ascii="Georgia" w:hAnsi="Georgia"/>
          <w:sz w:val="20"/>
          <w:szCs w:val="20"/>
        </w:rPr>
        <w:t>. 2017;9(1)</w:t>
      </w:r>
      <w:r w:rsidR="0004243B">
        <w:rPr>
          <w:rFonts w:ascii="Georgia" w:hAnsi="Georgia"/>
          <w:sz w:val="20"/>
          <w:szCs w:val="20"/>
        </w:rPr>
        <w:t>:</w:t>
      </w:r>
      <w:r w:rsidR="003524DC">
        <w:rPr>
          <w:rFonts w:ascii="Georgia" w:hAnsi="Georgia"/>
          <w:sz w:val="20"/>
          <w:szCs w:val="20"/>
        </w:rPr>
        <w:t xml:space="preserve">23-29. </w:t>
      </w:r>
      <w:r w:rsidR="003524DC" w:rsidRPr="003524DC">
        <w:rPr>
          <w:rFonts w:ascii="Georgia" w:hAnsi="Georgia"/>
          <w:b/>
          <w:bCs/>
          <w:sz w:val="20"/>
          <w:szCs w:val="20"/>
        </w:rPr>
        <w:t>1</w:t>
      </w:r>
      <w:r w:rsidR="0004243B">
        <w:rPr>
          <w:rFonts w:ascii="Georgia" w:hAnsi="Georgia"/>
          <w:b/>
          <w:bCs/>
          <w:sz w:val="20"/>
          <w:szCs w:val="20"/>
        </w:rPr>
        <w:t>4</w:t>
      </w:r>
      <w:r w:rsidR="003524DC" w:rsidRPr="003524DC">
        <w:rPr>
          <w:rFonts w:ascii="Georgia" w:hAnsi="Georgia"/>
          <w:b/>
          <w:bCs/>
          <w:sz w:val="20"/>
          <w:szCs w:val="20"/>
        </w:rPr>
        <w:t>.</w:t>
      </w:r>
      <w:r w:rsidR="003524DC">
        <w:rPr>
          <w:rFonts w:ascii="Georgia" w:hAnsi="Georgia"/>
          <w:sz w:val="20"/>
          <w:szCs w:val="20"/>
        </w:rPr>
        <w:t xml:space="preserve"> Findley LJ, Wood E, </w:t>
      </w:r>
      <w:proofErr w:type="spellStart"/>
      <w:r w:rsidR="003524DC">
        <w:rPr>
          <w:rFonts w:ascii="Georgia" w:hAnsi="Georgia"/>
          <w:sz w:val="20"/>
          <w:szCs w:val="20"/>
        </w:rPr>
        <w:t>Lowin</w:t>
      </w:r>
      <w:proofErr w:type="spellEnd"/>
      <w:r w:rsidR="003524DC">
        <w:rPr>
          <w:rFonts w:ascii="Georgia" w:hAnsi="Georgia"/>
          <w:sz w:val="20"/>
          <w:szCs w:val="20"/>
        </w:rPr>
        <w:t xml:space="preserve"> J, </w:t>
      </w:r>
      <w:r w:rsidR="0004243B" w:rsidRPr="0004243B">
        <w:rPr>
          <w:rFonts w:ascii="Georgia" w:hAnsi="Georgia"/>
          <w:sz w:val="20"/>
          <w:szCs w:val="20"/>
        </w:rPr>
        <w:t xml:space="preserve">Roeder C, Bergman A, </w:t>
      </w:r>
      <w:proofErr w:type="spellStart"/>
      <w:r w:rsidR="0004243B" w:rsidRPr="0004243B">
        <w:rPr>
          <w:rFonts w:ascii="Georgia" w:hAnsi="Georgia"/>
          <w:sz w:val="20"/>
          <w:szCs w:val="20"/>
        </w:rPr>
        <w:t>Schifflers</w:t>
      </w:r>
      <w:proofErr w:type="spellEnd"/>
      <w:r w:rsidR="00375D0F">
        <w:rPr>
          <w:rFonts w:ascii="Georgia" w:hAnsi="Georgia"/>
          <w:sz w:val="20"/>
          <w:szCs w:val="20"/>
        </w:rPr>
        <w:t xml:space="preserve"> </w:t>
      </w:r>
      <w:r w:rsidR="0004243B" w:rsidRPr="0004243B">
        <w:rPr>
          <w:rFonts w:ascii="Georgia" w:hAnsi="Georgia"/>
          <w:sz w:val="20"/>
          <w:szCs w:val="20"/>
        </w:rPr>
        <w:t>M</w:t>
      </w:r>
      <w:r w:rsidR="003524DC">
        <w:rPr>
          <w:rFonts w:ascii="Georgia" w:hAnsi="Georgia"/>
          <w:sz w:val="20"/>
          <w:szCs w:val="20"/>
        </w:rPr>
        <w:t xml:space="preserve">. The economic burden of advanced Parkinson’s disease: an analysis of a UK patient dataset. </w:t>
      </w:r>
      <w:r w:rsidR="003524DC" w:rsidRPr="003524DC">
        <w:rPr>
          <w:rFonts w:ascii="Georgia" w:hAnsi="Georgia"/>
          <w:i/>
          <w:iCs/>
          <w:sz w:val="20"/>
          <w:szCs w:val="20"/>
        </w:rPr>
        <w:t>J Med Econ</w:t>
      </w:r>
      <w:r w:rsidR="003524DC">
        <w:rPr>
          <w:rFonts w:ascii="Georgia" w:hAnsi="Georgia"/>
          <w:sz w:val="20"/>
          <w:szCs w:val="20"/>
        </w:rPr>
        <w:t xml:space="preserve">. </w:t>
      </w:r>
      <w:r w:rsidR="009B046F">
        <w:rPr>
          <w:rFonts w:ascii="Georgia" w:hAnsi="Georgia"/>
          <w:sz w:val="20"/>
          <w:szCs w:val="20"/>
        </w:rPr>
        <w:t>201</w:t>
      </w:r>
      <w:r w:rsidR="0004243B">
        <w:rPr>
          <w:rFonts w:ascii="Georgia" w:hAnsi="Georgia"/>
          <w:sz w:val="20"/>
          <w:szCs w:val="20"/>
        </w:rPr>
        <w:t>1</w:t>
      </w:r>
      <w:r w:rsidR="009B046F">
        <w:rPr>
          <w:rFonts w:ascii="Georgia" w:hAnsi="Georgia"/>
          <w:sz w:val="20"/>
          <w:szCs w:val="20"/>
        </w:rPr>
        <w:t xml:space="preserve">;14(1):130-139. </w:t>
      </w:r>
    </w:p>
    <w:p w14:paraId="1FFF8C22" w14:textId="77777777" w:rsidR="0000293A" w:rsidRPr="00741784" w:rsidRDefault="0000293A" w:rsidP="00375C68">
      <w:pPr>
        <w:spacing w:line="360" w:lineRule="auto"/>
        <w:rPr>
          <w:rFonts w:ascii="Georgia" w:hAnsi="Georgia"/>
          <w:sz w:val="20"/>
          <w:szCs w:val="20"/>
        </w:rPr>
      </w:pPr>
    </w:p>
    <w:p w14:paraId="1B620014" w14:textId="35CEA039" w:rsidR="000D2485" w:rsidRPr="00CB0F47" w:rsidRDefault="000D2485" w:rsidP="00CB0F47">
      <w:pPr>
        <w:spacing w:line="360" w:lineRule="auto"/>
        <w:rPr>
          <w:rFonts w:ascii="Georgia" w:hAnsi="Georgia"/>
          <w:sz w:val="22"/>
          <w:szCs w:val="22"/>
        </w:rPr>
      </w:pPr>
      <w:r w:rsidRPr="00EE0B73">
        <w:rPr>
          <w:rFonts w:ascii="Georgia" w:hAnsi="Georgia"/>
          <w:sz w:val="22"/>
          <w:szCs w:val="22"/>
        </w:rPr>
        <w:t>P</w:t>
      </w:r>
      <w:r w:rsidRPr="00EE0B73">
        <w:rPr>
          <w:rFonts w:ascii="Georgia" w:eastAsia="Times New Roman" w:hAnsi="Georgia" w:cs="Calibri"/>
          <w:color w:val="000000"/>
          <w:sz w:val="22"/>
          <w:szCs w:val="22"/>
        </w:rPr>
        <w:t>P-HCP-RYT-US-0120</w:t>
      </w:r>
      <w:r w:rsidR="004C57BA">
        <w:rPr>
          <w:rFonts w:ascii="Georgia" w:eastAsia="Times New Roman" w:hAnsi="Georgia" w:cs="Calibri"/>
          <w:color w:val="000000"/>
          <w:sz w:val="22"/>
          <w:szCs w:val="22"/>
        </w:rPr>
        <w:t xml:space="preserve"> 05/2020</w:t>
      </w:r>
    </w:p>
    <w:sectPr w:rsidR="000D2485" w:rsidRPr="00CB0F47" w:rsidSect="0081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C277D"/>
    <w:multiLevelType w:val="hybridMultilevel"/>
    <w:tmpl w:val="43FEEFB8"/>
    <w:lvl w:ilvl="0" w:tplc="279A99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03C272A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F6F6D3D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D2CA1A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9A923CB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932216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FA66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564AA8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5DD4FD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0xtwp0b5sx0texz02xwrs7dreprfvtsdtr&quot;&gt;Rytary letters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3&lt;/item&gt;&lt;/record-ids&gt;&lt;/item&gt;&lt;/Libraries&gt;"/>
  </w:docVars>
  <w:rsids>
    <w:rsidRoot w:val="00172FC1"/>
    <w:rsid w:val="0000293A"/>
    <w:rsid w:val="00025C21"/>
    <w:rsid w:val="0004243B"/>
    <w:rsid w:val="00051E0E"/>
    <w:rsid w:val="000521D4"/>
    <w:rsid w:val="00057857"/>
    <w:rsid w:val="000607E1"/>
    <w:rsid w:val="0006113D"/>
    <w:rsid w:val="000744EC"/>
    <w:rsid w:val="000828C2"/>
    <w:rsid w:val="000859F2"/>
    <w:rsid w:val="00091C0B"/>
    <w:rsid w:val="000C7B4C"/>
    <w:rsid w:val="000D2485"/>
    <w:rsid w:val="000F361B"/>
    <w:rsid w:val="000F48AA"/>
    <w:rsid w:val="00100D26"/>
    <w:rsid w:val="00125EE7"/>
    <w:rsid w:val="00172FC1"/>
    <w:rsid w:val="001948BD"/>
    <w:rsid w:val="001A69D7"/>
    <w:rsid w:val="001C0143"/>
    <w:rsid w:val="001E1CEB"/>
    <w:rsid w:val="001F050A"/>
    <w:rsid w:val="001F198B"/>
    <w:rsid w:val="0022030B"/>
    <w:rsid w:val="002322E8"/>
    <w:rsid w:val="00295F01"/>
    <w:rsid w:val="002A48A8"/>
    <w:rsid w:val="002B1907"/>
    <w:rsid w:val="002C1FA5"/>
    <w:rsid w:val="002C7288"/>
    <w:rsid w:val="002D3B2F"/>
    <w:rsid w:val="002D52B8"/>
    <w:rsid w:val="002F3D2E"/>
    <w:rsid w:val="0030097B"/>
    <w:rsid w:val="0030279C"/>
    <w:rsid w:val="00336BE4"/>
    <w:rsid w:val="00337782"/>
    <w:rsid w:val="0035243A"/>
    <w:rsid w:val="003524DC"/>
    <w:rsid w:val="0035377E"/>
    <w:rsid w:val="00371822"/>
    <w:rsid w:val="00375C68"/>
    <w:rsid w:val="00375D0F"/>
    <w:rsid w:val="0038746E"/>
    <w:rsid w:val="003A0406"/>
    <w:rsid w:val="003A1B58"/>
    <w:rsid w:val="003D0160"/>
    <w:rsid w:val="003D76C4"/>
    <w:rsid w:val="003F2F05"/>
    <w:rsid w:val="00402994"/>
    <w:rsid w:val="00446632"/>
    <w:rsid w:val="00456502"/>
    <w:rsid w:val="00464FDC"/>
    <w:rsid w:val="00485579"/>
    <w:rsid w:val="004A7D51"/>
    <w:rsid w:val="004A7EFE"/>
    <w:rsid w:val="004C57BA"/>
    <w:rsid w:val="004C63F0"/>
    <w:rsid w:val="00501AF9"/>
    <w:rsid w:val="00504EB8"/>
    <w:rsid w:val="00524699"/>
    <w:rsid w:val="00532513"/>
    <w:rsid w:val="005432A3"/>
    <w:rsid w:val="005627BB"/>
    <w:rsid w:val="00571A34"/>
    <w:rsid w:val="005A0973"/>
    <w:rsid w:val="005A791A"/>
    <w:rsid w:val="005A7948"/>
    <w:rsid w:val="005B4DD6"/>
    <w:rsid w:val="005C5673"/>
    <w:rsid w:val="005E4023"/>
    <w:rsid w:val="005F77A4"/>
    <w:rsid w:val="00601733"/>
    <w:rsid w:val="006070F5"/>
    <w:rsid w:val="00610C99"/>
    <w:rsid w:val="00616B95"/>
    <w:rsid w:val="0069434B"/>
    <w:rsid w:val="006B7F7E"/>
    <w:rsid w:val="006C4627"/>
    <w:rsid w:val="006E75FE"/>
    <w:rsid w:val="0072137B"/>
    <w:rsid w:val="00733E16"/>
    <w:rsid w:val="00733E9A"/>
    <w:rsid w:val="00741784"/>
    <w:rsid w:val="007468C8"/>
    <w:rsid w:val="007E7A38"/>
    <w:rsid w:val="007F718F"/>
    <w:rsid w:val="00803D81"/>
    <w:rsid w:val="00813668"/>
    <w:rsid w:val="0083122C"/>
    <w:rsid w:val="0084020F"/>
    <w:rsid w:val="0086719A"/>
    <w:rsid w:val="008B2835"/>
    <w:rsid w:val="008B36C9"/>
    <w:rsid w:val="008B752C"/>
    <w:rsid w:val="008E3A1B"/>
    <w:rsid w:val="0093772B"/>
    <w:rsid w:val="009813BD"/>
    <w:rsid w:val="009833F6"/>
    <w:rsid w:val="009B046F"/>
    <w:rsid w:val="009E08ED"/>
    <w:rsid w:val="00A00E35"/>
    <w:rsid w:val="00A30F43"/>
    <w:rsid w:val="00A70A3F"/>
    <w:rsid w:val="00A84940"/>
    <w:rsid w:val="00AC2B7E"/>
    <w:rsid w:val="00AC6FF9"/>
    <w:rsid w:val="00AE0A34"/>
    <w:rsid w:val="00B325A7"/>
    <w:rsid w:val="00B875AD"/>
    <w:rsid w:val="00BB0F3F"/>
    <w:rsid w:val="00BB5927"/>
    <w:rsid w:val="00BC6DF4"/>
    <w:rsid w:val="00BD2501"/>
    <w:rsid w:val="00BE0D5B"/>
    <w:rsid w:val="00BE73FB"/>
    <w:rsid w:val="00BF5DE4"/>
    <w:rsid w:val="00C11D89"/>
    <w:rsid w:val="00C32A3F"/>
    <w:rsid w:val="00C36C03"/>
    <w:rsid w:val="00C71B85"/>
    <w:rsid w:val="00C94EB4"/>
    <w:rsid w:val="00CB01D0"/>
    <w:rsid w:val="00CB0F47"/>
    <w:rsid w:val="00CB1E00"/>
    <w:rsid w:val="00CE7A54"/>
    <w:rsid w:val="00CF1D39"/>
    <w:rsid w:val="00CF5D43"/>
    <w:rsid w:val="00D15EF2"/>
    <w:rsid w:val="00D31146"/>
    <w:rsid w:val="00D33088"/>
    <w:rsid w:val="00D36945"/>
    <w:rsid w:val="00D55C95"/>
    <w:rsid w:val="00D7715B"/>
    <w:rsid w:val="00DB403C"/>
    <w:rsid w:val="00DD32B9"/>
    <w:rsid w:val="00DE612C"/>
    <w:rsid w:val="00DF56E5"/>
    <w:rsid w:val="00E06BCA"/>
    <w:rsid w:val="00E10256"/>
    <w:rsid w:val="00E46844"/>
    <w:rsid w:val="00E55029"/>
    <w:rsid w:val="00E60C4E"/>
    <w:rsid w:val="00E64CA5"/>
    <w:rsid w:val="00E804A2"/>
    <w:rsid w:val="00E81286"/>
    <w:rsid w:val="00EB28A9"/>
    <w:rsid w:val="00ED6A34"/>
    <w:rsid w:val="00EE0B73"/>
    <w:rsid w:val="00F17E55"/>
    <w:rsid w:val="00F2078A"/>
    <w:rsid w:val="00F21EB2"/>
    <w:rsid w:val="00F278DC"/>
    <w:rsid w:val="00F4106A"/>
    <w:rsid w:val="00F612F0"/>
    <w:rsid w:val="00F65BF0"/>
    <w:rsid w:val="00F673E0"/>
    <w:rsid w:val="00F67ACA"/>
    <w:rsid w:val="00FE61EC"/>
    <w:rsid w:val="00FF35C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9B51"/>
  <w15:chartTrackingRefBased/>
  <w15:docId w15:val="{CE9B5D0C-9F69-B44C-8EFF-B6F86F2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A0406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0406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3A0406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A0406"/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5A794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1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9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5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E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E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44EC"/>
  </w:style>
  <w:style w:type="paragraph" w:styleId="ListParagraph">
    <w:name w:val="List Paragraph"/>
    <w:basedOn w:val="Normal"/>
    <w:uiPriority w:val="34"/>
    <w:qFormat/>
    <w:rsid w:val="006070F5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828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813A9-819C-4FF2-A946-30EB1354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Dewey, M.D.-Professor</dc:creator>
  <cp:keywords/>
  <dc:description/>
  <cp:lastModifiedBy>Ethan Kleinberg</cp:lastModifiedBy>
  <cp:revision>7</cp:revision>
  <dcterms:created xsi:type="dcterms:W3CDTF">2020-06-10T15:59:00Z</dcterms:created>
  <dcterms:modified xsi:type="dcterms:W3CDTF">2020-06-15T16:33:00Z</dcterms:modified>
</cp:coreProperties>
</file>